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E6BD" w14:textId="77777777" w:rsidR="00B97968" w:rsidRPr="00CA0ABE" w:rsidRDefault="00B97968" w:rsidP="00D46E3B">
      <w:pPr>
        <w:shd w:val="clear" w:color="auto" w:fill="FFFFFF"/>
        <w:jc w:val="center"/>
        <w:rPr>
          <w:rFonts w:eastAsia="Times New Roman"/>
          <w:b/>
          <w:color w:val="222222"/>
          <w:sz w:val="22"/>
          <w:szCs w:val="28"/>
        </w:rPr>
      </w:pPr>
      <w:r w:rsidRPr="00CA0ABE">
        <w:rPr>
          <w:rFonts w:eastAsia="Times New Roman"/>
          <w:b/>
          <w:color w:val="222222"/>
          <w:sz w:val="28"/>
          <w:szCs w:val="36"/>
        </w:rPr>
        <w:t xml:space="preserve">Bellarmine’s Critique of Protestantism: </w:t>
      </w:r>
      <w:r w:rsidRPr="00CA0ABE">
        <w:rPr>
          <w:rFonts w:eastAsia="Times New Roman"/>
          <w:b/>
          <w:color w:val="222222"/>
          <w:sz w:val="28"/>
          <w:szCs w:val="36"/>
        </w:rPr>
        <w:br/>
        <w:t>Tridentine Roman Catholicism vs. the Reformation</w:t>
      </w:r>
    </w:p>
    <w:p w14:paraId="101CD075" w14:textId="77777777" w:rsidR="00B97968" w:rsidRPr="00CA0ABE" w:rsidRDefault="00B97968" w:rsidP="00D46E3B">
      <w:pPr>
        <w:tabs>
          <w:tab w:val="left" w:pos="1260"/>
        </w:tabs>
        <w:rPr>
          <w:b/>
          <w:bCs/>
          <w:sz w:val="28"/>
          <w:szCs w:val="28"/>
        </w:rPr>
      </w:pPr>
    </w:p>
    <w:p w14:paraId="3C75CC48" w14:textId="77777777" w:rsidR="00B97968" w:rsidRPr="00D46E3B" w:rsidRDefault="00B97968" w:rsidP="00D46E3B">
      <w:pPr>
        <w:shd w:val="clear" w:color="auto" w:fill="FFFFFF"/>
        <w:jc w:val="both"/>
        <w:rPr>
          <w:rFonts w:eastAsia="Times New Roman"/>
          <w:sz w:val="22"/>
          <w:szCs w:val="22"/>
        </w:rPr>
      </w:pPr>
      <w:r w:rsidRPr="00D46E3B">
        <w:rPr>
          <w:rFonts w:eastAsia="Times New Roman"/>
          <w:sz w:val="22"/>
          <w:szCs w:val="22"/>
        </w:rPr>
        <w:t>Written by Cardinal Robert Bellarmine (1542-1621), the </w:t>
      </w:r>
      <w:hyperlink r:id="rId7" w:tgtFrame="_blank" w:tooltip="Disputationes de controversiis christianae fidei" w:history="1">
        <w:r w:rsidRPr="00D46E3B">
          <w:rPr>
            <w:rFonts w:eastAsia="Times New Roman"/>
            <w:i/>
            <w:iCs/>
            <w:sz w:val="22"/>
            <w:szCs w:val="22"/>
          </w:rPr>
          <w:t>Disputationes de controversiis christianae fidei</w:t>
        </w:r>
      </w:hyperlink>
      <w:r w:rsidRPr="00D46E3B">
        <w:rPr>
          <w:rFonts w:eastAsia="Times New Roman"/>
          <w:sz w:val="22"/>
          <w:szCs w:val="22"/>
        </w:rPr>
        <w:t> (also called </w:t>
      </w:r>
      <w:r w:rsidRPr="00D46E3B">
        <w:rPr>
          <w:rFonts w:eastAsia="Times New Roman"/>
          <w:i/>
          <w:iCs/>
          <w:sz w:val="22"/>
          <w:szCs w:val="22"/>
        </w:rPr>
        <w:t>Controversiae</w:t>
      </w:r>
      <w:r w:rsidRPr="00D46E3B">
        <w:rPr>
          <w:rFonts w:eastAsia="Times New Roman"/>
          <w:sz w:val="22"/>
          <w:szCs w:val="22"/>
        </w:rPr>
        <w:t>) were the earliest attempt to systematize the various religious disputes between Catholics and Protestants. This work was used by Protestant theologians as representative of Tridentine Catholic theology. Bellarmine’s comprehensive and thoughtful critique of Protestantism provides a useful opportunity to review the core elements that were at stake in the theological debate after the Council of Trent. It is an enlightening source for all those interested in the Roman Catholic evaluation of Protestantism and vice versa.</w:t>
      </w:r>
    </w:p>
    <w:p w14:paraId="0E2AAD57" w14:textId="77777777" w:rsidR="00900C13" w:rsidRPr="00D46E3B" w:rsidRDefault="00900C13" w:rsidP="00D46E3B">
      <w:pPr>
        <w:jc w:val="both"/>
        <w:rPr>
          <w:sz w:val="22"/>
          <w:szCs w:val="22"/>
        </w:rPr>
      </w:pPr>
    </w:p>
    <w:p w14:paraId="1648AB83" w14:textId="77777777" w:rsidR="00CB5162" w:rsidRPr="00D46E3B" w:rsidRDefault="00900C13" w:rsidP="00D46E3B">
      <w:pPr>
        <w:jc w:val="both"/>
        <w:rPr>
          <w:sz w:val="22"/>
          <w:szCs w:val="22"/>
        </w:rPr>
      </w:pPr>
      <w:r w:rsidRPr="00D46E3B">
        <w:rPr>
          <w:rStyle w:val="Strong"/>
          <w:sz w:val="22"/>
          <w:szCs w:val="22"/>
          <w:shd w:val="clear" w:color="auto" w:fill="FFFFFF"/>
        </w:rPr>
        <w:t>Leonardo De Chirico</w:t>
      </w:r>
      <w:r w:rsidRPr="00D46E3B">
        <w:rPr>
          <w:rStyle w:val="apple-converted-space"/>
          <w:sz w:val="22"/>
          <w:szCs w:val="22"/>
          <w:shd w:val="clear" w:color="auto" w:fill="FFFFFF"/>
        </w:rPr>
        <w:t xml:space="preserve"> is the pastor of Breccia di Roma, a church that he helped plant in Rome in 2009, and Vice Chairman of the Italian Evangelical Alliance. Previously, Leonardo planted </w:t>
      </w:r>
      <w:r w:rsidRPr="00D46E3B">
        <w:rPr>
          <w:sz w:val="22"/>
          <w:szCs w:val="22"/>
          <w:shd w:val="clear" w:color="auto" w:fill="FFFFFF"/>
        </w:rPr>
        <w:t>and pastored an evangelical church in Ferrara, Italy from 1997 to 2009. He earned degrees in history (University of Bologna), theology (ETCW, Bridgend, Wales) and bioethics (University of Padova). His PhD is from King's College (London); it was published as</w:t>
      </w:r>
      <w:r w:rsidRPr="00D46E3B">
        <w:rPr>
          <w:rStyle w:val="apple-converted-space"/>
          <w:sz w:val="22"/>
          <w:szCs w:val="22"/>
          <w:shd w:val="clear" w:color="auto" w:fill="FFFFFF"/>
        </w:rPr>
        <w:t> </w:t>
      </w:r>
      <w:r w:rsidRPr="00D46E3B">
        <w:rPr>
          <w:rStyle w:val="Emphasis"/>
          <w:sz w:val="22"/>
          <w:szCs w:val="22"/>
          <w:shd w:val="clear" w:color="auto" w:fill="FFFFFF"/>
        </w:rPr>
        <w:t>Evangelical Theological Perspectives on Post-Vatican II Roman Catholicism</w:t>
      </w:r>
      <w:r w:rsidRPr="00D46E3B">
        <w:rPr>
          <w:sz w:val="22"/>
          <w:szCs w:val="22"/>
          <w:shd w:val="clear" w:color="auto" w:fill="FFFFFF"/>
        </w:rPr>
        <w:t xml:space="preserve">. In 2015, he published </w:t>
      </w:r>
      <w:r w:rsidRPr="00D46E3B">
        <w:rPr>
          <w:i/>
          <w:sz w:val="22"/>
          <w:szCs w:val="22"/>
          <w:shd w:val="clear" w:color="auto" w:fill="FFFFFF"/>
        </w:rPr>
        <w:t>A Christian Pocket Guide to Papacy</w:t>
      </w:r>
      <w:r w:rsidRPr="00D46E3B">
        <w:rPr>
          <w:sz w:val="22"/>
          <w:szCs w:val="22"/>
          <w:shd w:val="clear" w:color="auto" w:fill="FFFFFF"/>
        </w:rPr>
        <w:t xml:space="preserve"> through Christian Focus. He is a lecturer of historical theology at Istituto di Formazione Evangelica e Documentazione in Padova, Italy.</w:t>
      </w:r>
      <w:r w:rsidRPr="00D46E3B">
        <w:rPr>
          <w:rStyle w:val="apple-converted-space"/>
          <w:sz w:val="22"/>
          <w:szCs w:val="22"/>
          <w:shd w:val="clear" w:color="auto" w:fill="FFFFFF"/>
        </w:rPr>
        <w:t xml:space="preserve"> Additionally, Leonardo is the director of the Reformanda Initiative, which aims to equip evangelical leaders to better understand and engage with Roman Catholicism, and the leader of the Rome Scholars and Leaders Network (RSLN).</w:t>
      </w:r>
    </w:p>
    <w:p w14:paraId="7CE8904F" w14:textId="77777777" w:rsidR="00DD155A" w:rsidRPr="0033044A" w:rsidRDefault="00DD155A" w:rsidP="0033044A">
      <w:pPr>
        <w:rPr>
          <w:rFonts w:ascii="Arial" w:hAnsi="Arial" w:cs="Arial"/>
        </w:rPr>
      </w:pPr>
    </w:p>
    <w:p w14:paraId="00F53119" w14:textId="77777777" w:rsidR="00CB5162" w:rsidRPr="00D46E3B" w:rsidRDefault="00CB5162" w:rsidP="0033044A"/>
    <w:p w14:paraId="59692C13" w14:textId="77777777" w:rsidR="0033044A" w:rsidRPr="00D46E3B" w:rsidRDefault="0033044A" w:rsidP="00D46E3B">
      <w:pPr>
        <w:pStyle w:val="ListParagraph"/>
        <w:numPr>
          <w:ilvl w:val="0"/>
          <w:numId w:val="1"/>
        </w:numPr>
        <w:ind w:left="360"/>
        <w:rPr>
          <w:b/>
          <w:bCs/>
        </w:rPr>
      </w:pPr>
      <w:r w:rsidRPr="00D46E3B">
        <w:rPr>
          <w:b/>
          <w:bCs/>
        </w:rPr>
        <w:t>“Propugnaculum fortissimum” (the strong bulwark): A Life Dedicated to the Counter-Reformation</w:t>
      </w:r>
    </w:p>
    <w:p w14:paraId="32CCC440" w14:textId="77777777" w:rsidR="0033044A" w:rsidRPr="00D46E3B" w:rsidRDefault="0033044A" w:rsidP="0033044A">
      <w:pPr>
        <w:pStyle w:val="ListParagraph"/>
        <w:rPr>
          <w:bCs/>
        </w:rPr>
      </w:pPr>
    </w:p>
    <w:p w14:paraId="7491870A" w14:textId="77777777" w:rsidR="0033044A" w:rsidRPr="00D46E3B" w:rsidRDefault="0033044A" w:rsidP="0033044A">
      <w:pPr>
        <w:pStyle w:val="ListParagraph"/>
        <w:rPr>
          <w:bCs/>
        </w:rPr>
      </w:pPr>
      <w:r w:rsidRPr="00D46E3B">
        <w:rPr>
          <w:bCs/>
        </w:rPr>
        <w:t>A Survey of Bellarmine’s Life and Works</w:t>
      </w:r>
    </w:p>
    <w:p w14:paraId="0DF688E4" w14:textId="30B9ECB2" w:rsidR="0033044A" w:rsidRDefault="0033044A" w:rsidP="0033044A">
      <w:pPr>
        <w:pStyle w:val="ListParagraph"/>
        <w:rPr>
          <w:bCs/>
        </w:rPr>
      </w:pPr>
    </w:p>
    <w:p w14:paraId="45EE48DA" w14:textId="26D7F128" w:rsidR="00D900E6" w:rsidRDefault="00D900E6" w:rsidP="00E10508">
      <w:pPr>
        <w:rPr>
          <w:bCs/>
        </w:rPr>
      </w:pPr>
    </w:p>
    <w:p w14:paraId="454B4D51" w14:textId="77777777" w:rsidR="00E10508" w:rsidRDefault="00E10508" w:rsidP="00E10508">
      <w:pPr>
        <w:rPr>
          <w:bCs/>
        </w:rPr>
      </w:pPr>
    </w:p>
    <w:p w14:paraId="03F7E8BE" w14:textId="77777777" w:rsidR="00D46E3B" w:rsidRPr="00D46E3B" w:rsidRDefault="00D46E3B" w:rsidP="0033044A">
      <w:pPr>
        <w:ind w:firstLine="360"/>
        <w:rPr>
          <w:bCs/>
        </w:rPr>
      </w:pPr>
    </w:p>
    <w:p w14:paraId="616DAB9C" w14:textId="77777777" w:rsidR="0033044A" w:rsidRPr="00D46E3B" w:rsidRDefault="0033044A" w:rsidP="00D46E3B">
      <w:pPr>
        <w:ind w:left="360" w:hanging="360"/>
        <w:rPr>
          <w:b/>
          <w:bCs/>
        </w:rPr>
      </w:pPr>
      <w:r w:rsidRPr="00D46E3B">
        <w:rPr>
          <w:b/>
        </w:rPr>
        <w:t>2.</w:t>
      </w:r>
      <w:r w:rsidRPr="00D46E3B">
        <w:rPr>
          <w:bCs/>
        </w:rPr>
        <w:t xml:space="preserve"> </w:t>
      </w:r>
      <w:r w:rsidRPr="00D46E3B">
        <w:rPr>
          <w:b/>
          <w:bCs/>
        </w:rPr>
        <w:t>A Battle Around the Ninth and Tenth Articles of the Creed</w:t>
      </w:r>
    </w:p>
    <w:p w14:paraId="475D6666" w14:textId="77777777" w:rsidR="00D900E6" w:rsidRPr="00D46E3B" w:rsidRDefault="00D900E6" w:rsidP="00D900E6"/>
    <w:p w14:paraId="652E3204" w14:textId="5E8C28A6" w:rsidR="0033044A" w:rsidRPr="00D46E3B" w:rsidRDefault="0033044A" w:rsidP="00D46E3B">
      <w:pPr>
        <w:ind w:left="720"/>
      </w:pPr>
      <w:r w:rsidRPr="00D46E3B">
        <w:t>An Analy</w:t>
      </w:r>
      <w:r w:rsidR="00E10508">
        <w:t>sis of Bellarmine’s Contention That the Dispute A</w:t>
      </w:r>
      <w:r w:rsidRPr="00D46E3B">
        <w:t>gainst the Reforma</w:t>
      </w:r>
      <w:r w:rsidR="00E10508">
        <w:t>tion Revolves Around These Two A</w:t>
      </w:r>
      <w:r w:rsidRPr="00D46E3B">
        <w:t>rticles</w:t>
      </w:r>
    </w:p>
    <w:p w14:paraId="3841B0ED" w14:textId="77777777" w:rsidR="0033044A" w:rsidRPr="00D46E3B" w:rsidRDefault="0033044A" w:rsidP="00D46E3B">
      <w:pPr>
        <w:ind w:left="720" w:firstLine="708"/>
        <w:rPr>
          <w:rStyle w:val="EmphasisA"/>
        </w:rPr>
      </w:pPr>
      <w:r w:rsidRPr="00D46E3B">
        <w:rPr>
          <w:rStyle w:val="EmphasisA"/>
        </w:rPr>
        <w:t>9. I believe in the holy Catholic Church, the communion of the saints</w:t>
      </w:r>
    </w:p>
    <w:p w14:paraId="4B2D3609" w14:textId="77777777" w:rsidR="0033044A" w:rsidRPr="00D46E3B" w:rsidRDefault="0033044A" w:rsidP="00D46E3B">
      <w:pPr>
        <w:ind w:left="720" w:firstLine="708"/>
        <w:rPr>
          <w:rStyle w:val="EmphasisA"/>
        </w:rPr>
      </w:pPr>
      <w:r w:rsidRPr="00D46E3B">
        <w:rPr>
          <w:rStyle w:val="EmphasisA"/>
        </w:rPr>
        <w:t>10. And the forgiveness of sins</w:t>
      </w:r>
    </w:p>
    <w:p w14:paraId="207ECB1E" w14:textId="77777777" w:rsidR="00CB5162" w:rsidRPr="00D46E3B" w:rsidRDefault="00CB5162" w:rsidP="00D46E3B">
      <w:pPr>
        <w:ind w:left="720"/>
      </w:pPr>
    </w:p>
    <w:p w14:paraId="638B3584" w14:textId="48910CAC" w:rsidR="00D46E3B" w:rsidRDefault="00D46E3B" w:rsidP="00D900E6"/>
    <w:p w14:paraId="7F9FF4C1" w14:textId="77777777" w:rsidR="00E10508" w:rsidRDefault="00E10508" w:rsidP="00D900E6"/>
    <w:p w14:paraId="421B071E" w14:textId="77777777" w:rsidR="00E10508" w:rsidRPr="00D46E3B" w:rsidRDefault="00E10508" w:rsidP="00D900E6"/>
    <w:p w14:paraId="13AB509C" w14:textId="77777777" w:rsidR="0033044A" w:rsidRPr="00D46E3B" w:rsidRDefault="0033044A" w:rsidP="00D46E3B">
      <w:pPr>
        <w:pStyle w:val="ListParagraph"/>
        <w:numPr>
          <w:ilvl w:val="0"/>
          <w:numId w:val="3"/>
        </w:numPr>
        <w:ind w:left="360"/>
        <w:rPr>
          <w:b/>
          <w:bCs/>
        </w:rPr>
      </w:pPr>
      <w:r w:rsidRPr="00D46E3B">
        <w:rPr>
          <w:b/>
          <w:bCs/>
        </w:rPr>
        <w:t>The Manifold Case Against the Reformation Unfolded</w:t>
      </w:r>
    </w:p>
    <w:p w14:paraId="2E4020ED" w14:textId="77777777" w:rsidR="00D900E6" w:rsidRPr="00D46E3B" w:rsidRDefault="00D900E6" w:rsidP="00D900E6">
      <w:pPr>
        <w:rPr>
          <w:bCs/>
        </w:rPr>
      </w:pPr>
    </w:p>
    <w:p w14:paraId="6D3BFD09" w14:textId="77777777" w:rsidR="00D900E6" w:rsidRPr="00D46E3B" w:rsidRDefault="00D900E6" w:rsidP="00D46E3B">
      <w:pPr>
        <w:ind w:left="720"/>
        <w:rPr>
          <w:bCs/>
        </w:rPr>
      </w:pPr>
      <w:r w:rsidRPr="00D46E3B">
        <w:rPr>
          <w:bCs/>
        </w:rPr>
        <w:t>A Sample of Bellarmine’s Discussions around the Word of God, the Church and Justification by Faith</w:t>
      </w:r>
    </w:p>
    <w:p w14:paraId="3167336A" w14:textId="6E910329" w:rsidR="00D900E6" w:rsidRDefault="00D900E6" w:rsidP="00D900E6">
      <w:pPr>
        <w:rPr>
          <w:bCs/>
        </w:rPr>
      </w:pPr>
    </w:p>
    <w:p w14:paraId="4C331F8C" w14:textId="604E2E2D" w:rsidR="00D46E3B" w:rsidRDefault="00D46E3B" w:rsidP="00D900E6">
      <w:pPr>
        <w:rPr>
          <w:bCs/>
        </w:rPr>
      </w:pPr>
    </w:p>
    <w:p w14:paraId="5F2C27C6" w14:textId="453EF870" w:rsidR="00D900E6" w:rsidRDefault="00D900E6" w:rsidP="00D900E6">
      <w:pPr>
        <w:rPr>
          <w:bCs/>
        </w:rPr>
      </w:pPr>
    </w:p>
    <w:p w14:paraId="1BCDBB5A" w14:textId="77777777" w:rsidR="00E10508" w:rsidRPr="00D46E3B" w:rsidRDefault="00E10508" w:rsidP="00D900E6">
      <w:pPr>
        <w:rPr>
          <w:bCs/>
        </w:rPr>
      </w:pPr>
    </w:p>
    <w:p w14:paraId="3BFEAE99" w14:textId="02B5669F" w:rsidR="0033044A" w:rsidRPr="00D46E3B" w:rsidRDefault="0033044A" w:rsidP="00D900E6">
      <w:pPr>
        <w:rPr>
          <w:bCs/>
        </w:rPr>
      </w:pPr>
      <w:r w:rsidRPr="00D46E3B">
        <w:rPr>
          <w:b/>
        </w:rPr>
        <w:t>4</w:t>
      </w:r>
      <w:r w:rsidRPr="00D46E3B">
        <w:rPr>
          <w:bCs/>
        </w:rPr>
        <w:t xml:space="preserve">. </w:t>
      </w:r>
      <w:r w:rsidRPr="00D46E3B">
        <w:rPr>
          <w:b/>
          <w:bCs/>
        </w:rPr>
        <w:t>After Bellarmine What?</w:t>
      </w:r>
      <w:r w:rsidRPr="00D46E3B">
        <w:rPr>
          <w:bCs/>
        </w:rPr>
        <w:t xml:space="preserve"> </w:t>
      </w:r>
    </w:p>
    <w:p w14:paraId="347CEAFD" w14:textId="77777777" w:rsidR="0033044A" w:rsidRPr="00D46E3B" w:rsidRDefault="0033044A" w:rsidP="0033044A"/>
    <w:p w14:paraId="374FC9B9" w14:textId="77777777" w:rsidR="00D900E6" w:rsidRPr="00D46E3B" w:rsidRDefault="002D09EC" w:rsidP="00D46E3B">
      <w:pPr>
        <w:ind w:left="720"/>
        <w:rPr>
          <w:rStyle w:val="metadata"/>
        </w:rPr>
      </w:pPr>
      <w:r w:rsidRPr="00D46E3B">
        <w:rPr>
          <w:rStyle w:val="metadata"/>
        </w:rPr>
        <w:t>According to Avery Dulles “theologians are called to do again, in a vastly changed context, something analogous to what Bellarmine did with remarkable success, for early modern times”.</w:t>
      </w:r>
      <w:r w:rsidRPr="00D46E3B">
        <w:rPr>
          <w:rStyle w:val="FootnoteReference"/>
        </w:rPr>
        <w:footnoteReference w:id="1"/>
      </w:r>
      <w:r w:rsidRPr="00D46E3B">
        <w:rPr>
          <w:rStyle w:val="metadata"/>
        </w:rPr>
        <w:t xml:space="preserve"> Rome is looking for another Bellarmine who will be capable of “updating” the Roman Catholic system, i.e. adapting it to the new “ecumenical” age that no longer thinks in terms of “controversies” but in terms of “unity”, so that the Protestant Reformation will be declared “over”.</w:t>
      </w:r>
    </w:p>
    <w:p w14:paraId="0AFA8192" w14:textId="77777777" w:rsidR="002D09EC" w:rsidRPr="00D46E3B" w:rsidRDefault="002D09EC" w:rsidP="00D46E3B">
      <w:pPr>
        <w:ind w:left="720"/>
        <w:rPr>
          <w:rStyle w:val="metadata"/>
        </w:rPr>
      </w:pPr>
    </w:p>
    <w:p w14:paraId="47497CD4" w14:textId="042E86EE" w:rsidR="002D09EC" w:rsidRDefault="002D09EC" w:rsidP="0033044A">
      <w:pPr>
        <w:rPr>
          <w:rStyle w:val="metadata"/>
        </w:rPr>
      </w:pPr>
    </w:p>
    <w:p w14:paraId="07FB0F8A" w14:textId="7B8BDCCF" w:rsidR="00D46E3B" w:rsidRDefault="00D46E3B" w:rsidP="0033044A">
      <w:pPr>
        <w:rPr>
          <w:rStyle w:val="metadata"/>
        </w:rPr>
      </w:pPr>
    </w:p>
    <w:p w14:paraId="3FA2F2E7" w14:textId="77777777" w:rsidR="00E10508" w:rsidRPr="00D46E3B" w:rsidRDefault="00E10508" w:rsidP="0033044A">
      <w:pPr>
        <w:rPr>
          <w:rStyle w:val="metadata"/>
        </w:rPr>
      </w:pPr>
      <w:bookmarkStart w:id="0" w:name="_GoBack"/>
      <w:bookmarkEnd w:id="0"/>
    </w:p>
    <w:p w14:paraId="6946B318" w14:textId="77777777" w:rsidR="002D09EC" w:rsidRPr="00E10508" w:rsidRDefault="002D09EC" w:rsidP="0033044A">
      <w:pPr>
        <w:rPr>
          <w:rStyle w:val="metadata"/>
          <w:b/>
          <w:i/>
        </w:rPr>
      </w:pPr>
      <w:r w:rsidRPr="00E10508">
        <w:rPr>
          <w:rStyle w:val="metadata"/>
          <w:b/>
          <w:i/>
        </w:rPr>
        <w:t>Selected Bibliography</w:t>
      </w:r>
    </w:p>
    <w:p w14:paraId="58519701" w14:textId="77777777" w:rsidR="007328AC" w:rsidRPr="00D46E3B" w:rsidRDefault="007328AC" w:rsidP="0033044A"/>
    <w:p w14:paraId="4D1AE1CC" w14:textId="77777777" w:rsidR="007328AC" w:rsidRPr="00D46E3B" w:rsidRDefault="007328AC" w:rsidP="0033044A">
      <w:pPr>
        <w:rPr>
          <w:i/>
        </w:rPr>
      </w:pPr>
      <w:r w:rsidRPr="00D46E3B">
        <w:rPr>
          <w:i/>
        </w:rPr>
        <w:t>Works by Bellarmine</w:t>
      </w:r>
    </w:p>
    <w:p w14:paraId="3A771360" w14:textId="7D4F9493" w:rsidR="00D46E3B" w:rsidRDefault="002D09EC" w:rsidP="0033044A">
      <w:r w:rsidRPr="00D46E3B">
        <w:t xml:space="preserve">St Robert Bellarmine, </w:t>
      </w:r>
      <w:r w:rsidRPr="00D46E3B">
        <w:rPr>
          <w:i/>
        </w:rPr>
        <w:t xml:space="preserve">Controversies of the Christian Faith </w:t>
      </w:r>
      <w:r w:rsidRPr="00D46E3B">
        <w:t>(</w:t>
      </w:r>
      <w:r w:rsidRPr="00D46E3B">
        <w:rPr>
          <w:color w:val="000000" w:themeColor="text1"/>
          <w:shd w:val="clear" w:color="auto" w:fill="FFFFFF"/>
        </w:rPr>
        <w:t xml:space="preserve">Saddle River, NJ: </w:t>
      </w:r>
      <w:r w:rsidRPr="00D46E3B">
        <w:t>Keep the Faith, 2016)</w:t>
      </w:r>
    </w:p>
    <w:p w14:paraId="7103B4C0" w14:textId="77777777" w:rsidR="00E10508" w:rsidRPr="00D46E3B" w:rsidRDefault="00E10508" w:rsidP="0033044A"/>
    <w:p w14:paraId="2BC07315" w14:textId="77777777" w:rsidR="002D09EC" w:rsidRPr="00D46E3B" w:rsidRDefault="002D09EC" w:rsidP="0033044A">
      <w:r w:rsidRPr="00D46E3B">
        <w:rPr>
          <w:i/>
        </w:rPr>
        <w:t>Robert Bellarmine. Spiritual Writings</w:t>
      </w:r>
      <w:r w:rsidRPr="00D46E3B">
        <w:t>, edited by J.P. Donnelly S.J. and R.J Teske S.J. (Mahwah, NJ: Paulist Press, 1989)</w:t>
      </w:r>
    </w:p>
    <w:p w14:paraId="110BB576" w14:textId="77777777" w:rsidR="002D09EC" w:rsidRPr="00D46E3B" w:rsidRDefault="002D09EC" w:rsidP="007328AC"/>
    <w:p w14:paraId="093D38A0" w14:textId="77777777" w:rsidR="007328AC" w:rsidRPr="00D46E3B" w:rsidRDefault="007328AC" w:rsidP="007328AC">
      <w:pPr>
        <w:pStyle w:val="FootnoteText"/>
        <w:rPr>
          <w:i/>
          <w:sz w:val="24"/>
          <w:szCs w:val="24"/>
        </w:rPr>
      </w:pPr>
      <w:r w:rsidRPr="00D46E3B">
        <w:rPr>
          <w:i/>
          <w:sz w:val="24"/>
          <w:szCs w:val="24"/>
        </w:rPr>
        <w:t>Works on Bellarmine</w:t>
      </w:r>
    </w:p>
    <w:p w14:paraId="0CB213EA" w14:textId="77777777" w:rsidR="002D09EC" w:rsidRPr="00D46E3B" w:rsidRDefault="002D09EC" w:rsidP="007328AC">
      <w:pPr>
        <w:pStyle w:val="FootnoteText"/>
        <w:rPr>
          <w:sz w:val="24"/>
          <w:szCs w:val="24"/>
        </w:rPr>
      </w:pPr>
      <w:r w:rsidRPr="00D46E3B">
        <w:rPr>
          <w:sz w:val="24"/>
          <w:szCs w:val="24"/>
        </w:rPr>
        <w:t xml:space="preserve">Stefania Tutino, </w:t>
      </w:r>
      <w:r w:rsidRPr="00D46E3B">
        <w:rPr>
          <w:i/>
          <w:sz w:val="24"/>
          <w:szCs w:val="24"/>
          <w:shd w:val="clear" w:color="auto" w:fill="F5F5F5"/>
        </w:rPr>
        <w:t>Shadows of Doubt. Language and Truth in Post-Reformation Catholic Culture</w:t>
      </w:r>
      <w:r w:rsidRPr="00D46E3B">
        <w:rPr>
          <w:sz w:val="24"/>
          <w:szCs w:val="24"/>
          <w:shd w:val="clear" w:color="auto" w:fill="F5F5F5"/>
        </w:rPr>
        <w:t xml:space="preserve"> (Oxford: OUP, 2014).</w:t>
      </w:r>
    </w:p>
    <w:p w14:paraId="26B2BDEB" w14:textId="77777777" w:rsidR="007328AC" w:rsidRPr="00D46E3B" w:rsidRDefault="007328AC" w:rsidP="007328AC"/>
    <w:p w14:paraId="322CA5E8" w14:textId="77777777" w:rsidR="002D09EC" w:rsidRPr="00D46E3B" w:rsidRDefault="002D09EC" w:rsidP="007328AC">
      <w:r w:rsidRPr="00D46E3B">
        <w:t xml:space="preserve">Robert W. Richgels, </w:t>
      </w:r>
      <w:r w:rsidRPr="00D46E3B">
        <w:rPr>
          <w:i/>
        </w:rPr>
        <w:t xml:space="preserve">The Pattern of Controversy in a Counter-Reformation Classic: the </w:t>
      </w:r>
      <w:r w:rsidRPr="00D46E3B">
        <w:t>Controversies</w:t>
      </w:r>
      <w:r w:rsidRPr="00D46E3B">
        <w:rPr>
          <w:i/>
        </w:rPr>
        <w:t xml:space="preserve"> of Robert Bellarmine</w:t>
      </w:r>
      <w:r w:rsidRPr="00D46E3B">
        <w:t>, “Sixteenth Century Journal” XI:2 (1980) pp. 3-15.</w:t>
      </w:r>
    </w:p>
    <w:p w14:paraId="75E57E55" w14:textId="77777777" w:rsidR="007328AC" w:rsidRPr="00D46E3B" w:rsidRDefault="007328AC" w:rsidP="007328AC"/>
    <w:p w14:paraId="002C86E8" w14:textId="77777777" w:rsidR="007328AC" w:rsidRPr="00D46E3B" w:rsidRDefault="007328AC" w:rsidP="007328AC">
      <w:r w:rsidRPr="00D46E3B">
        <w:t xml:space="preserve">Luc Perrottet, </w:t>
      </w:r>
      <w:r w:rsidRPr="00D46E3B">
        <w:rPr>
          <w:i/>
        </w:rPr>
        <w:t>Un exemple de polémique religieuse à la fin du XVIe siècle: la défense de la tradition par Robert Bellarmine (1542-1621) et la réplique calviniste</w:t>
      </w:r>
      <w:r w:rsidRPr="00D46E3B">
        <w:t>, “</w:t>
      </w:r>
      <w:r w:rsidRPr="00D46E3B">
        <w:rPr>
          <w:color w:val="000000" w:themeColor="text1"/>
          <w:spacing w:val="-3"/>
        </w:rPr>
        <w:t xml:space="preserve">Revue de Théologie et de Philosophie”, </w:t>
      </w:r>
      <w:hyperlink r:id="rId8" w:history="1">
        <w:r w:rsidRPr="00D46E3B">
          <w:rPr>
            <w:rStyle w:val="Hyperlink"/>
            <w:color w:val="000000" w:themeColor="text1"/>
            <w:spacing w:val="-3"/>
          </w:rPr>
          <w:t>Troisième série, Vol. 114, No. 4 (1982)</w:t>
        </w:r>
      </w:hyperlink>
      <w:r w:rsidRPr="00D46E3B">
        <w:rPr>
          <w:color w:val="000000" w:themeColor="text1"/>
          <w:spacing w:val="-3"/>
        </w:rPr>
        <w:t xml:space="preserve"> pp. 395-413.</w:t>
      </w:r>
    </w:p>
    <w:sectPr w:rsidR="007328AC" w:rsidRPr="00D46E3B" w:rsidSect="00D46E3B">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6574" w14:textId="77777777" w:rsidR="008A6143" w:rsidRDefault="008A6143" w:rsidP="002D09EC">
      <w:r>
        <w:separator/>
      </w:r>
    </w:p>
  </w:endnote>
  <w:endnote w:type="continuationSeparator" w:id="0">
    <w:p w14:paraId="174A2EFF" w14:textId="77777777" w:rsidR="008A6143" w:rsidRDefault="008A6143" w:rsidP="002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20438"/>
      <w:docPartObj>
        <w:docPartGallery w:val="Page Numbers (Bottom of Page)"/>
        <w:docPartUnique/>
      </w:docPartObj>
    </w:sdtPr>
    <w:sdtEndPr>
      <w:rPr>
        <w:noProof/>
      </w:rPr>
    </w:sdtEndPr>
    <w:sdtContent>
      <w:p w14:paraId="210C06F7" w14:textId="3944B68C" w:rsidR="00D46E3B" w:rsidRDefault="00D46E3B">
        <w:pPr>
          <w:pStyle w:val="Footer"/>
          <w:jc w:val="center"/>
        </w:pPr>
        <w:r>
          <w:fldChar w:fldCharType="begin"/>
        </w:r>
        <w:r>
          <w:instrText xml:space="preserve"> PAGE   \* MERGEFORMAT </w:instrText>
        </w:r>
        <w:r>
          <w:fldChar w:fldCharType="separate"/>
        </w:r>
        <w:r w:rsidR="00E10508">
          <w:rPr>
            <w:noProof/>
          </w:rPr>
          <w:t>2</w:t>
        </w:r>
        <w:r>
          <w:rPr>
            <w:noProof/>
          </w:rPr>
          <w:fldChar w:fldCharType="end"/>
        </w:r>
      </w:p>
    </w:sdtContent>
  </w:sdt>
  <w:p w14:paraId="0AF96920" w14:textId="77777777" w:rsidR="00D46E3B" w:rsidRDefault="00D46E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E9B4" w14:textId="77777777" w:rsidR="008A6143" w:rsidRDefault="008A6143" w:rsidP="002D09EC">
      <w:r>
        <w:separator/>
      </w:r>
    </w:p>
  </w:footnote>
  <w:footnote w:type="continuationSeparator" w:id="0">
    <w:p w14:paraId="4B34C5C3" w14:textId="77777777" w:rsidR="008A6143" w:rsidRDefault="008A6143" w:rsidP="002D09EC">
      <w:r>
        <w:continuationSeparator/>
      </w:r>
    </w:p>
  </w:footnote>
  <w:footnote w:id="1">
    <w:p w14:paraId="4961EDF7" w14:textId="77777777" w:rsidR="002D09EC" w:rsidRPr="007328AC" w:rsidRDefault="002D09EC" w:rsidP="007328AC">
      <w:pPr>
        <w:pStyle w:val="FootnoteText"/>
        <w:rPr>
          <w:rFonts w:ascii="Arial" w:hAnsi="Arial" w:cs="Arial"/>
        </w:rPr>
      </w:pPr>
      <w:r w:rsidRPr="007328AC">
        <w:rPr>
          <w:rStyle w:val="FootnoteReference"/>
          <w:rFonts w:ascii="Arial" w:hAnsi="Arial" w:cs="Arial"/>
        </w:rPr>
        <w:footnoteRef/>
      </w:r>
      <w:r w:rsidRPr="007328AC">
        <w:rPr>
          <w:rFonts w:ascii="Arial" w:hAnsi="Arial" w:cs="Arial"/>
        </w:rPr>
        <w:t xml:space="preserve"> Avery Dulles, </w:t>
      </w:r>
      <w:r w:rsidRPr="007328AC">
        <w:rPr>
          <w:rFonts w:ascii="Arial" w:hAnsi="Arial" w:cs="Arial"/>
          <w:i/>
        </w:rPr>
        <w:t>Saint Robert Bellarmine: A Moderate in a Disputatious Age</w:t>
      </w:r>
      <w:r w:rsidRPr="007328AC">
        <w:rPr>
          <w:rFonts w:ascii="Arial" w:hAnsi="Arial" w:cs="Arial"/>
        </w:rPr>
        <w:t>, “Crisis Magazine” (December 1994) pp. 39-44.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B22"/>
    <w:multiLevelType w:val="hybridMultilevel"/>
    <w:tmpl w:val="782A8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26183C"/>
    <w:multiLevelType w:val="hybridMultilevel"/>
    <w:tmpl w:val="63C0122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DE7FC8"/>
    <w:multiLevelType w:val="hybridMultilevel"/>
    <w:tmpl w:val="DE087E32"/>
    <w:lvl w:ilvl="0" w:tplc="24C4F32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62"/>
    <w:rsid w:val="002656D2"/>
    <w:rsid w:val="002D09EC"/>
    <w:rsid w:val="0033044A"/>
    <w:rsid w:val="00501854"/>
    <w:rsid w:val="00512714"/>
    <w:rsid w:val="00570936"/>
    <w:rsid w:val="007328AC"/>
    <w:rsid w:val="008A6143"/>
    <w:rsid w:val="00900C13"/>
    <w:rsid w:val="00B97968"/>
    <w:rsid w:val="00CB5162"/>
    <w:rsid w:val="00D46E3B"/>
    <w:rsid w:val="00D900E6"/>
    <w:rsid w:val="00DD155A"/>
    <w:rsid w:val="00E10508"/>
    <w:rsid w:val="00E37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3553"/>
  <w15:docId w15:val="{72A6D274-719B-44D0-A278-01E12582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4A"/>
    <w:pPr>
      <w:ind w:left="720"/>
      <w:contextualSpacing/>
    </w:pPr>
  </w:style>
  <w:style w:type="character" w:customStyle="1" w:styleId="EmphasisA">
    <w:name w:val="Emphasis A"/>
    <w:rsid w:val="0033044A"/>
    <w:rPr>
      <w:rFonts w:ascii="Times New Roman" w:hAnsi="Times New Roman"/>
      <w:i/>
      <w:iCs/>
      <w:lang w:val="it-IT"/>
    </w:rPr>
  </w:style>
  <w:style w:type="character" w:customStyle="1" w:styleId="metadata">
    <w:name w:val="metadata"/>
    <w:rsid w:val="002D09EC"/>
    <w:rPr>
      <w:lang w:val="it-IT"/>
    </w:rPr>
  </w:style>
  <w:style w:type="character" w:styleId="FootnoteReference">
    <w:name w:val="footnote reference"/>
    <w:rsid w:val="002D09EC"/>
    <w:rPr>
      <w:vertAlign w:val="superscript"/>
    </w:rPr>
  </w:style>
  <w:style w:type="paragraph" w:styleId="FootnoteText">
    <w:name w:val="footnote text"/>
    <w:link w:val="FootnoteTextChar"/>
    <w:uiPriority w:val="99"/>
    <w:rsid w:val="002D09EC"/>
    <w:pPr>
      <w:pBdr>
        <w:top w:val="nil"/>
        <w:left w:val="nil"/>
        <w:bottom w:val="nil"/>
        <w:right w:val="nil"/>
        <w:between w:val="nil"/>
        <w:bar w:val="nil"/>
      </w:pBdr>
    </w:pPr>
    <w:rPr>
      <w:rFonts w:eastAsia="Times New Roman"/>
      <w:color w:val="000000"/>
      <w:sz w:val="20"/>
      <w:szCs w:val="20"/>
      <w:u w:color="000000"/>
      <w:bdr w:val="nil"/>
      <w:lang w:eastAsia="it-IT"/>
    </w:rPr>
  </w:style>
  <w:style w:type="character" w:customStyle="1" w:styleId="FootnoteTextChar">
    <w:name w:val="Footnote Text Char"/>
    <w:basedOn w:val="DefaultParagraphFont"/>
    <w:link w:val="FootnoteText"/>
    <w:uiPriority w:val="99"/>
    <w:rsid w:val="002D09EC"/>
    <w:rPr>
      <w:rFonts w:eastAsia="Times New Roman"/>
      <w:color w:val="000000"/>
      <w:sz w:val="20"/>
      <w:szCs w:val="20"/>
      <w:u w:color="000000"/>
      <w:bdr w:val="nil"/>
      <w:lang w:eastAsia="it-IT"/>
    </w:rPr>
  </w:style>
  <w:style w:type="character" w:styleId="Hyperlink">
    <w:name w:val="Hyperlink"/>
    <w:rsid w:val="007328AC"/>
    <w:rPr>
      <w:u w:val="single"/>
    </w:rPr>
  </w:style>
  <w:style w:type="character" w:styleId="Strong">
    <w:name w:val="Strong"/>
    <w:uiPriority w:val="22"/>
    <w:qFormat/>
    <w:rsid w:val="00B97968"/>
    <w:rPr>
      <w:b/>
      <w:bCs/>
    </w:rPr>
  </w:style>
  <w:style w:type="character" w:customStyle="1" w:styleId="apple-converted-space">
    <w:name w:val="apple-converted-space"/>
    <w:basedOn w:val="DefaultParagraphFont"/>
    <w:rsid w:val="00B97968"/>
  </w:style>
  <w:style w:type="character" w:styleId="Emphasis">
    <w:name w:val="Emphasis"/>
    <w:uiPriority w:val="20"/>
    <w:qFormat/>
    <w:rsid w:val="00B97968"/>
    <w:rPr>
      <w:i/>
      <w:iCs/>
    </w:rPr>
  </w:style>
  <w:style w:type="paragraph" w:styleId="Header">
    <w:name w:val="header"/>
    <w:basedOn w:val="Normal"/>
    <w:link w:val="HeaderChar"/>
    <w:uiPriority w:val="99"/>
    <w:unhideWhenUsed/>
    <w:rsid w:val="00D46E3B"/>
    <w:pPr>
      <w:tabs>
        <w:tab w:val="center" w:pos="4680"/>
        <w:tab w:val="right" w:pos="9360"/>
      </w:tabs>
    </w:pPr>
  </w:style>
  <w:style w:type="character" w:customStyle="1" w:styleId="HeaderChar">
    <w:name w:val="Header Char"/>
    <w:basedOn w:val="DefaultParagraphFont"/>
    <w:link w:val="Header"/>
    <w:uiPriority w:val="99"/>
    <w:rsid w:val="00D46E3B"/>
  </w:style>
  <w:style w:type="paragraph" w:styleId="Footer">
    <w:name w:val="footer"/>
    <w:basedOn w:val="Normal"/>
    <w:link w:val="FooterChar"/>
    <w:uiPriority w:val="99"/>
    <w:unhideWhenUsed/>
    <w:rsid w:val="00D46E3B"/>
    <w:pPr>
      <w:tabs>
        <w:tab w:val="center" w:pos="4680"/>
        <w:tab w:val="right" w:pos="9360"/>
      </w:tabs>
    </w:pPr>
  </w:style>
  <w:style w:type="character" w:customStyle="1" w:styleId="FooterChar">
    <w:name w:val="Footer Char"/>
    <w:basedOn w:val="DefaultParagraphFont"/>
    <w:link w:val="Footer"/>
    <w:uiPriority w:val="99"/>
    <w:rsid w:val="00D4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i40182061" TargetMode="External"/><Relationship Id="rId3" Type="http://schemas.openxmlformats.org/officeDocument/2006/relationships/settings" Target="settings.xml"/><Relationship Id="rId7" Type="http://schemas.openxmlformats.org/officeDocument/2006/relationships/hyperlink" Target="https://en.wikipedia.org/wiki/Disputationes_de_controversiis_christianae_fid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Geneva Wright</cp:lastModifiedBy>
  <cp:revision>5</cp:revision>
  <dcterms:created xsi:type="dcterms:W3CDTF">2021-03-22T14:53:00Z</dcterms:created>
  <dcterms:modified xsi:type="dcterms:W3CDTF">2021-04-21T04:52:00Z</dcterms:modified>
</cp:coreProperties>
</file>