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306AF" w14:textId="77777777" w:rsidR="003F4742" w:rsidRPr="0026760B" w:rsidRDefault="001E5C9E" w:rsidP="0026760B">
      <w:pPr>
        <w:spacing w:after="0" w:line="240" w:lineRule="auto"/>
        <w:ind w:left="0" w:right="1" w:firstLine="0"/>
        <w:jc w:val="center"/>
        <w:rPr>
          <w:rFonts w:ascii="Times New Roman" w:hAnsi="Times New Roman" w:cs="Times New Roman"/>
          <w:b/>
          <w:bCs/>
          <w:sz w:val="28"/>
          <w:szCs w:val="28"/>
        </w:rPr>
      </w:pPr>
      <w:r w:rsidRPr="0026760B">
        <w:rPr>
          <w:rFonts w:ascii="Times New Roman" w:hAnsi="Times New Roman" w:cs="Times New Roman"/>
          <w:b/>
          <w:bCs/>
          <w:sz w:val="28"/>
          <w:szCs w:val="28"/>
        </w:rPr>
        <w:t xml:space="preserve">Genesis 14 in Its Time </w:t>
      </w:r>
    </w:p>
    <w:p w14:paraId="7D040E9C"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498248B8" w14:textId="2288A0FA" w:rsidR="0026760B" w:rsidRPr="0026760B" w:rsidRDefault="001E5C9E" w:rsidP="0026760B">
      <w:pPr>
        <w:spacing w:after="0" w:line="240" w:lineRule="auto"/>
        <w:ind w:right="0"/>
        <w:rPr>
          <w:rFonts w:ascii="Times New Roman" w:hAnsi="Times New Roman" w:cs="Times New Roman"/>
          <w:sz w:val="22"/>
        </w:rPr>
      </w:pPr>
      <w:r w:rsidRPr="0026760B">
        <w:rPr>
          <w:rFonts w:ascii="Times New Roman" w:hAnsi="Times New Roman" w:cs="Times New Roman"/>
          <w:sz w:val="22"/>
        </w:rPr>
        <w:t xml:space="preserve">Genesis 14 gives us more information about its socio-political context than just about any other part of the patriarchal narratives. A classic study by Thomas Thompson in the 1970s cast doubt on the historical authenticity of this part of Genesis, and his arguments continue to be influential in Old Testament studies. The past fifty years have seen significant gains in understanding the historical facets of Abraham’s world, some of which are relevant for Genesis 14. This presentation will review some of these and argue for the historical authenticity of the account. </w:t>
      </w:r>
    </w:p>
    <w:p w14:paraId="786BA4AD" w14:textId="77777777" w:rsidR="0026760B" w:rsidRPr="0026760B" w:rsidRDefault="0026760B" w:rsidP="0026760B">
      <w:pPr>
        <w:spacing w:after="0" w:line="240" w:lineRule="auto"/>
        <w:ind w:right="0"/>
        <w:rPr>
          <w:rFonts w:ascii="Times New Roman" w:hAnsi="Times New Roman" w:cs="Times New Roman"/>
          <w:sz w:val="22"/>
        </w:rPr>
      </w:pPr>
    </w:p>
    <w:p w14:paraId="54997942" w14:textId="77777777" w:rsidR="0026760B" w:rsidRPr="0026760B" w:rsidRDefault="0026760B" w:rsidP="0026760B">
      <w:pPr>
        <w:spacing w:after="0" w:line="240" w:lineRule="auto"/>
        <w:ind w:right="0"/>
        <w:rPr>
          <w:rFonts w:ascii="Times New Roman" w:hAnsi="Times New Roman" w:cs="Times New Roman"/>
          <w:sz w:val="22"/>
        </w:rPr>
      </w:pPr>
      <w:r w:rsidRPr="0026760B">
        <w:rPr>
          <w:rFonts w:ascii="Times New Roman" w:hAnsi="Times New Roman" w:cs="Times New Roman"/>
          <w:b/>
          <w:bCs/>
          <w:sz w:val="22"/>
        </w:rPr>
        <w:t>Caleb Howard</w:t>
      </w:r>
      <w:r w:rsidRPr="0026760B">
        <w:rPr>
          <w:rFonts w:ascii="Times New Roman" w:hAnsi="Times New Roman" w:cs="Times New Roman"/>
          <w:sz w:val="22"/>
        </w:rPr>
        <w:t xml:space="preserve"> is a Research Fellow in Old Testament and Ancient Near East at Tyndale House and editor of the Tyndale Bulletin. He studies the texts, history, and scholarship of ancient Mesopotamia and the Levant. His current book project investigates the mechanics of scribal production of Neo-Assyrian royal inscriptions. His other major project is the documentation and analysis of personal names in cuneiform tablets from the second millennium B.C., especially those of the ancient city of Alalaḫ. This work will be documented in an online database, which will provide a means of studying the social history of the ancient Near East through personal names.</w:t>
      </w:r>
    </w:p>
    <w:p w14:paraId="7410B93A" w14:textId="6E94595B" w:rsidR="003F4742" w:rsidRPr="0026760B" w:rsidRDefault="003F4742" w:rsidP="0026760B">
      <w:pPr>
        <w:spacing w:after="0" w:line="240" w:lineRule="auto"/>
        <w:ind w:left="0" w:right="0" w:firstLine="0"/>
        <w:rPr>
          <w:rFonts w:ascii="Times New Roman" w:hAnsi="Times New Roman" w:cs="Times New Roman"/>
          <w:sz w:val="22"/>
        </w:rPr>
      </w:pPr>
    </w:p>
    <w:p w14:paraId="409EE932"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2B64F836" w14:textId="77777777" w:rsidR="003F4742" w:rsidRPr="0026760B" w:rsidRDefault="001E5C9E" w:rsidP="0026760B">
      <w:pPr>
        <w:numPr>
          <w:ilvl w:val="0"/>
          <w:numId w:val="1"/>
        </w:numPr>
        <w:spacing w:after="0" w:line="240" w:lineRule="auto"/>
        <w:ind w:right="0" w:hanging="360"/>
        <w:rPr>
          <w:rFonts w:ascii="Times New Roman" w:hAnsi="Times New Roman" w:cs="Times New Roman"/>
          <w:b/>
          <w:bCs/>
        </w:rPr>
      </w:pPr>
      <w:r w:rsidRPr="0026760B">
        <w:rPr>
          <w:rFonts w:ascii="Times New Roman" w:hAnsi="Times New Roman" w:cs="Times New Roman"/>
          <w:b/>
          <w:bCs/>
        </w:rPr>
        <w:t xml:space="preserve">Historicity of the Patriarchal Narratives: Ebbs and Flows in Consensus </w:t>
      </w:r>
    </w:p>
    <w:p w14:paraId="5B92E950"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2E0D76A8" w14:textId="77777777" w:rsidR="003F4742" w:rsidRPr="0026760B" w:rsidRDefault="001E5C9E" w:rsidP="0026760B">
      <w:pPr>
        <w:numPr>
          <w:ilvl w:val="1"/>
          <w:numId w:val="1"/>
        </w:numPr>
        <w:spacing w:after="0" w:line="240" w:lineRule="auto"/>
        <w:ind w:right="0" w:hanging="432"/>
        <w:rPr>
          <w:rFonts w:ascii="Times New Roman" w:hAnsi="Times New Roman" w:cs="Times New Roman"/>
        </w:rPr>
      </w:pPr>
      <w:r w:rsidRPr="0026760B">
        <w:rPr>
          <w:rFonts w:ascii="Times New Roman" w:hAnsi="Times New Roman" w:cs="Times New Roman"/>
        </w:rPr>
        <w:t xml:space="preserve">Julius Wellhausen (1885) </w:t>
      </w:r>
    </w:p>
    <w:p w14:paraId="558DE7A4"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3FFC6BE6" w14:textId="77777777" w:rsidR="003F4742" w:rsidRPr="0026760B" w:rsidRDefault="001E5C9E" w:rsidP="0026760B">
      <w:pPr>
        <w:spacing w:after="0" w:line="240" w:lineRule="auto"/>
        <w:ind w:left="370" w:right="0"/>
        <w:rPr>
          <w:rFonts w:ascii="Times New Roman" w:hAnsi="Times New Roman" w:cs="Times New Roman"/>
        </w:rPr>
      </w:pPr>
      <w:r w:rsidRPr="0026760B">
        <w:rPr>
          <w:rFonts w:ascii="Times New Roman" w:hAnsi="Times New Roman" w:cs="Times New Roman"/>
        </w:rPr>
        <w:t xml:space="preserve">“The materials here (the patriarchal narratives; JCH) are not mythical but national, and therefore more transparent (than Genesis 1-11; JCH), and in a certain sense more historical. </w:t>
      </w:r>
      <w:r w:rsidRPr="0026760B">
        <w:rPr>
          <w:rFonts w:ascii="Times New Roman" w:hAnsi="Times New Roman" w:cs="Times New Roman"/>
          <w:b/>
        </w:rPr>
        <w:t>It is true, we attain to no historical knowledge of the patriarchs, but only of the time when the stories about them arose in the Israelite people; this later age is here unconsciously projected, in its inner and its outward features, into hoar antiquity, and is reflected there like a glorified mirage.</w:t>
      </w:r>
      <w:r w:rsidRPr="0026760B">
        <w:rPr>
          <w:rFonts w:ascii="Times New Roman" w:hAnsi="Times New Roman" w:cs="Times New Roman"/>
        </w:rPr>
        <w:t xml:space="preserve"> The skeleton of the patriarchal history consists, it is well known, of ethnographic genealogy. The Leah-tribes are connected with the Rachel-tribes under the common father Jacob-Israel: then entire Israel is connected with the people of Edom under the old name of Isaac (Amos vii. 9, 16). Isaac again is connected under Abraham with Lot, the father of Moab and Ammon. All these nearly related and once closely allied Hebrew tribes are shown to be intimately connected with the inhabitants of the Mesopotamian desert, and sharply marked off from the Canaanites, in whose land they dwelt. … </w:t>
      </w:r>
      <w:r w:rsidRPr="0026760B">
        <w:rPr>
          <w:rFonts w:ascii="Times New Roman" w:hAnsi="Times New Roman" w:cs="Times New Roman"/>
          <w:b/>
        </w:rPr>
        <w:t>Abraham alone is certainly not the name of a people like Isaac and Lot: he is somewhat difficult to interpret. That is not to say that in such a connection as this we may regard him as a historical person; he might with more likelihood be regarded as a free creation of unconscious art. He is perhaps the youngest figure in the company, and it was probably at a comparatively late period that he was put before his son Isaac.</w:t>
      </w:r>
      <w:r w:rsidRPr="0026760B">
        <w:rPr>
          <w:rFonts w:ascii="Times New Roman" w:hAnsi="Times New Roman" w:cs="Times New Roman"/>
        </w:rPr>
        <w:t>”</w:t>
      </w:r>
      <w:r w:rsidRPr="0026760B">
        <w:rPr>
          <w:rFonts w:ascii="Times New Roman" w:hAnsi="Times New Roman" w:cs="Times New Roman"/>
          <w:sz w:val="21"/>
          <w:vertAlign w:val="superscript"/>
        </w:rPr>
        <w:footnoteReference w:id="1"/>
      </w:r>
      <w:r w:rsidRPr="0026760B">
        <w:rPr>
          <w:rFonts w:ascii="Times New Roman" w:hAnsi="Times New Roman" w:cs="Times New Roman"/>
        </w:rPr>
        <w:t xml:space="preserve"> </w:t>
      </w:r>
    </w:p>
    <w:p w14:paraId="51C430EB"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78E10268" w14:textId="34777C58"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 F. Albright (1963)</w:t>
      </w:r>
      <w:r w:rsidRPr="0026760B">
        <w:rPr>
          <w:rFonts w:ascii="Times New Roman" w:hAnsi="Times New Roman" w:cs="Times New Roman"/>
          <w:sz w:val="21"/>
          <w:vertAlign w:val="superscript"/>
        </w:rPr>
        <w:footnoteReference w:id="2"/>
      </w:r>
      <w:r w:rsidRPr="0026760B">
        <w:rPr>
          <w:rFonts w:ascii="Times New Roman" w:hAnsi="Times New Roman" w:cs="Times New Roman"/>
        </w:rPr>
        <w:t xml:space="preserve"> </w:t>
      </w:r>
    </w:p>
    <w:p w14:paraId="6B2646FD"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367E57D0" w14:textId="77777777" w:rsidR="003F4742" w:rsidRPr="0026760B" w:rsidRDefault="001E5C9E" w:rsidP="0026760B">
      <w:pPr>
        <w:spacing w:after="0" w:line="240" w:lineRule="auto"/>
        <w:ind w:left="370" w:right="0"/>
        <w:rPr>
          <w:rFonts w:ascii="Times New Roman" w:hAnsi="Times New Roman" w:cs="Times New Roman"/>
        </w:rPr>
      </w:pPr>
      <w:r w:rsidRPr="0026760B">
        <w:rPr>
          <w:rFonts w:ascii="Times New Roman" w:hAnsi="Times New Roman" w:cs="Times New Roman"/>
        </w:rPr>
        <w:t xml:space="preserve">“Until recently it was the fashion among biblical historians to treat the patriarchal sagas of Genesis as though they were artificial creations of Israelite scribes of the Divided Monarchy or tales told by imaginative rhapsodists around Israelite campfires during the centuries following their occupation of the country. Eminent names among scholars can be </w:t>
      </w:r>
      <w:r w:rsidRPr="0026760B">
        <w:rPr>
          <w:rFonts w:ascii="Times New Roman" w:hAnsi="Times New Roman" w:cs="Times New Roman"/>
        </w:rPr>
        <w:lastRenderedPageBreak/>
        <w:t xml:space="preserve">cited for regarding every item of Gen. 11-50 as reflecting late invention, or at least retrojection of events and conditions under the Monarchy into the remote past, about which nothing was thought to have been really known to the writers of later days. Archaeological discoveries since 1925 have changed all this. </w:t>
      </w:r>
      <w:r w:rsidRPr="0026760B">
        <w:rPr>
          <w:rFonts w:ascii="Times New Roman" w:hAnsi="Times New Roman" w:cs="Times New Roman"/>
          <w:b/>
        </w:rPr>
        <w:t>Aside from a few die-hards among older scholars, there is scarcely a single biblical historian who has not been</w:t>
      </w:r>
      <w:r w:rsidR="00E12DA4" w:rsidRPr="0026760B">
        <w:rPr>
          <w:rFonts w:ascii="Times New Roman" w:hAnsi="Times New Roman" w:cs="Times New Roman"/>
          <w:b/>
        </w:rPr>
        <w:t xml:space="preserve"> </w:t>
      </w:r>
      <w:r w:rsidRPr="0026760B">
        <w:rPr>
          <w:rFonts w:ascii="Times New Roman" w:hAnsi="Times New Roman" w:cs="Times New Roman"/>
          <w:b/>
        </w:rPr>
        <w:t>impressed by the rapid accumulation of data supporting the substantial historicity of patriarchal tradition.</w:t>
      </w:r>
      <w:r w:rsidRPr="0026760B">
        <w:rPr>
          <w:rFonts w:ascii="Times New Roman" w:hAnsi="Times New Roman" w:cs="Times New Roman"/>
        </w:rPr>
        <w:t>”</w:t>
      </w:r>
      <w:r w:rsidRPr="0026760B">
        <w:rPr>
          <w:rFonts w:ascii="Times New Roman" w:hAnsi="Times New Roman" w:cs="Times New Roman"/>
          <w:sz w:val="21"/>
          <w:vertAlign w:val="superscript"/>
        </w:rPr>
        <w:footnoteReference w:id="3"/>
      </w:r>
      <w:r w:rsidRPr="0026760B">
        <w:rPr>
          <w:rFonts w:ascii="Times New Roman" w:hAnsi="Times New Roman" w:cs="Times New Roman"/>
        </w:rPr>
        <w:t xml:space="preserve"> </w:t>
      </w:r>
    </w:p>
    <w:p w14:paraId="27FBA2CD"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7BA15CF3" w14:textId="77777777" w:rsidR="003F4742" w:rsidRPr="0026760B" w:rsidRDefault="001E5C9E" w:rsidP="0026760B">
      <w:pPr>
        <w:numPr>
          <w:ilvl w:val="1"/>
          <w:numId w:val="1"/>
        </w:numPr>
        <w:spacing w:after="0" w:line="240" w:lineRule="auto"/>
        <w:ind w:right="0" w:hanging="432"/>
        <w:rPr>
          <w:rFonts w:ascii="Times New Roman" w:hAnsi="Times New Roman" w:cs="Times New Roman"/>
        </w:rPr>
      </w:pPr>
      <w:r w:rsidRPr="0026760B">
        <w:rPr>
          <w:rFonts w:ascii="Times New Roman" w:hAnsi="Times New Roman" w:cs="Times New Roman"/>
        </w:rPr>
        <w:t>Thomas Thompson (1974) and John Van Seters (1975)</w:t>
      </w:r>
      <w:r w:rsidRPr="0026760B">
        <w:rPr>
          <w:rFonts w:ascii="Times New Roman" w:hAnsi="Times New Roman" w:cs="Times New Roman"/>
          <w:sz w:val="21"/>
          <w:vertAlign w:val="superscript"/>
        </w:rPr>
        <w:footnoteReference w:id="4"/>
      </w:r>
      <w:r w:rsidRPr="0026760B">
        <w:rPr>
          <w:rFonts w:ascii="Times New Roman" w:hAnsi="Times New Roman" w:cs="Times New Roman"/>
        </w:rPr>
        <w:t xml:space="preserve"> </w:t>
      </w:r>
    </w:p>
    <w:p w14:paraId="7877C53E"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25D6DC2D" w14:textId="77777777" w:rsidR="003F4742" w:rsidRPr="0026760B" w:rsidRDefault="001E5C9E" w:rsidP="0026760B">
      <w:pPr>
        <w:spacing w:after="0" w:line="240" w:lineRule="auto"/>
        <w:ind w:left="370" w:right="0"/>
        <w:rPr>
          <w:rFonts w:ascii="Times New Roman" w:hAnsi="Times New Roman" w:cs="Times New Roman"/>
        </w:rPr>
      </w:pPr>
      <w:r w:rsidRPr="0026760B">
        <w:rPr>
          <w:rFonts w:ascii="Times New Roman" w:hAnsi="Times New Roman" w:cs="Times New Roman"/>
        </w:rPr>
        <w:t xml:space="preserve">“… the received tradition about Abraham’s journey from Ur of the Chaldees to Canaan by way of Harran is not an originally independent tradition about Abraham. Rather it is a historiographical reconstruction which is based on several originally independent and conflicting traditions. It not only must be understood as unhistorical, but any attempt to find movements analogous to Abraham’s in the history of the Near East are essentially misdirected for the purposes of biblical interpretation. The intentions of the biblical traditions about the patriarchs are not comparable to those of the modern historian. They are rather sociological, political, and religious. Those attempts at interpretation of these traditions which willfully neglect the implications of their formation and structure can justly be dismissed as historicism. </w:t>
      </w:r>
      <w:r w:rsidRPr="0026760B">
        <w:rPr>
          <w:rFonts w:ascii="Times New Roman" w:hAnsi="Times New Roman" w:cs="Times New Roman"/>
          <w:b/>
        </w:rPr>
        <w:t>Moreover, we have seen that the biblical chronologies are not grounded on historical memory, but are rather based on a very late theological schema that presupposes a very unhistorical worldview. Those efforts to use the biblical narratives for a reconstruction of the history of the Near East, in a manner comparable to the use of the archives of Mari and similar finds, can justly be dismissed as fundamentalist.</w:t>
      </w:r>
      <w:r w:rsidRPr="0026760B">
        <w:rPr>
          <w:rFonts w:ascii="Times New Roman" w:hAnsi="Times New Roman" w:cs="Times New Roman"/>
        </w:rPr>
        <w:t xml:space="preserve"> … Salvation history is not an historical account of saving events open to the study of the historian. Salvation history did not happen; it is a literary form which has its own historical context. In fact, we can say that the faith of Israel is not an historical faith, in the sense of a faith based on historical event; it is rather a faith within history. It is a faith that is structured by the experience of Israel’s history, and as such has the freedom and openness to the future which is characteristic of reflection on historical experience.”</w:t>
      </w:r>
      <w:r w:rsidRPr="0026760B">
        <w:rPr>
          <w:rFonts w:ascii="Times New Roman" w:hAnsi="Times New Roman" w:cs="Times New Roman"/>
          <w:sz w:val="21"/>
          <w:vertAlign w:val="superscript"/>
        </w:rPr>
        <w:footnoteReference w:id="5"/>
      </w:r>
      <w:r w:rsidRPr="0026760B">
        <w:rPr>
          <w:rFonts w:ascii="Times New Roman" w:hAnsi="Times New Roman" w:cs="Times New Roman"/>
        </w:rPr>
        <w:t xml:space="preserve"> </w:t>
      </w:r>
    </w:p>
    <w:p w14:paraId="3EC97F8B" w14:textId="77777777" w:rsidR="003F4742" w:rsidRPr="0026760B" w:rsidRDefault="001E5C9E" w:rsidP="0026760B">
      <w:pPr>
        <w:spacing w:after="0" w:line="240" w:lineRule="auto"/>
        <w:ind w:left="360" w:right="0" w:firstLine="0"/>
        <w:jc w:val="left"/>
        <w:rPr>
          <w:rFonts w:ascii="Times New Roman" w:hAnsi="Times New Roman" w:cs="Times New Roman"/>
        </w:rPr>
      </w:pPr>
      <w:r w:rsidRPr="0026760B">
        <w:rPr>
          <w:rFonts w:ascii="Times New Roman" w:hAnsi="Times New Roman" w:cs="Times New Roman"/>
        </w:rPr>
        <w:t xml:space="preserve"> </w:t>
      </w:r>
    </w:p>
    <w:p w14:paraId="532EBF20" w14:textId="77777777" w:rsidR="003F4742" w:rsidRPr="0026760B" w:rsidRDefault="001E5C9E" w:rsidP="0026760B">
      <w:pPr>
        <w:spacing w:after="0" w:line="240" w:lineRule="auto"/>
        <w:ind w:left="370" w:right="0"/>
        <w:rPr>
          <w:rFonts w:ascii="Times New Roman" w:hAnsi="Times New Roman" w:cs="Times New Roman"/>
        </w:rPr>
      </w:pPr>
      <w:r w:rsidRPr="0026760B">
        <w:rPr>
          <w:rFonts w:ascii="Times New Roman" w:hAnsi="Times New Roman" w:cs="Times New Roman"/>
        </w:rPr>
        <w:t xml:space="preserve">“On the matter of dating I have tried to show that there is no unambiguous evidence that points to a great antiquity for this tradition (the patriarchal narratives; JCH). Arguments based on reconstructing the patriarch’s nomadic way of life, the personal names in Genesis, the social customs reflected in the stories, and correlation of the traditions of Genesis with the archaeological data of the Middle Bronze age have all been found … to be quite defective in demonstrating an origin for the Abraham tradition in the second millennium B.C. Consequently, without any such effective historical controls on the tradition one cannot use any part of it in an attempt to reconstruct the primitive period of Israelite history. … </w:t>
      </w:r>
      <w:r w:rsidRPr="0026760B">
        <w:rPr>
          <w:rFonts w:ascii="Times New Roman" w:hAnsi="Times New Roman" w:cs="Times New Roman"/>
          <w:b/>
        </w:rPr>
        <w:t xml:space="preserve">The present study has argued that the Yahwistic version of the tradition dates to the exilic period. The Priestly version, which is viewed here as a direct literary supplement to the earlier work, must be later and post-exilic in date. This dating of the Yahwist is based on the fact that while he consciously portrays a primitive age without the political structures of a later day he still gives frequent clues to his own </w:t>
      </w:r>
      <w:r w:rsidRPr="0026760B">
        <w:rPr>
          <w:rFonts w:ascii="Times New Roman" w:hAnsi="Times New Roman" w:cs="Times New Roman"/>
          <w:b/>
        </w:rPr>
        <w:lastRenderedPageBreak/>
        <w:t>time.</w:t>
      </w:r>
      <w:r w:rsidRPr="0026760B">
        <w:rPr>
          <w:rFonts w:ascii="Times New Roman" w:hAnsi="Times New Roman" w:cs="Times New Roman"/>
        </w:rPr>
        <w:t xml:space="preserve"> His use of various designations for the indigenous inhabitants is quite unhistorical and reflects the development of such archaisms in the late period of the monarchy. The prominence that he gives to the Arameans of the region around Harran (but not Syria) and the Arabs of north Arabia and the Negeb reflect a late date. The references to Ur of the Chaldeans and its close connections with Harran and the West point most clearly to the late Neo-Babylonian period. Even the portrayal of the nomadic element in the story, with camels and tents, points to a time when such bedouin were most prominent—in the mid-first millennium B.C.”</w:t>
      </w:r>
      <w:r w:rsidRPr="0026760B">
        <w:rPr>
          <w:rFonts w:ascii="Times New Roman" w:hAnsi="Times New Roman" w:cs="Times New Roman"/>
          <w:sz w:val="21"/>
          <w:vertAlign w:val="superscript"/>
        </w:rPr>
        <w:footnoteReference w:id="6"/>
      </w:r>
      <w:r w:rsidRPr="0026760B">
        <w:rPr>
          <w:rFonts w:ascii="Times New Roman" w:hAnsi="Times New Roman" w:cs="Times New Roman"/>
        </w:rPr>
        <w:t xml:space="preserve"> </w:t>
      </w:r>
    </w:p>
    <w:p w14:paraId="6676E3F7" w14:textId="66EA0EB0"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7A146101" w14:textId="77777777" w:rsidR="003F4742" w:rsidRPr="0026760B" w:rsidRDefault="001E5C9E" w:rsidP="0026760B">
      <w:pPr>
        <w:numPr>
          <w:ilvl w:val="1"/>
          <w:numId w:val="1"/>
        </w:numPr>
        <w:spacing w:after="0" w:line="240" w:lineRule="auto"/>
        <w:ind w:right="0" w:hanging="432"/>
        <w:rPr>
          <w:rFonts w:ascii="Times New Roman" w:hAnsi="Times New Roman" w:cs="Times New Roman"/>
        </w:rPr>
      </w:pPr>
      <w:r w:rsidRPr="0026760B">
        <w:rPr>
          <w:rFonts w:ascii="Times New Roman" w:hAnsi="Times New Roman" w:cs="Times New Roman"/>
        </w:rPr>
        <w:t>Current Critical Consensus (e.g., Christian Frevel, 2023)</w:t>
      </w:r>
      <w:r w:rsidRPr="0026760B">
        <w:rPr>
          <w:rFonts w:ascii="Times New Roman" w:hAnsi="Times New Roman" w:cs="Times New Roman"/>
          <w:sz w:val="21"/>
          <w:vertAlign w:val="superscript"/>
        </w:rPr>
        <w:footnoteReference w:id="7"/>
      </w:r>
      <w:r w:rsidRPr="0026760B">
        <w:rPr>
          <w:rFonts w:ascii="Times New Roman" w:hAnsi="Times New Roman" w:cs="Times New Roman"/>
        </w:rPr>
        <w:t xml:space="preserve"> </w:t>
      </w:r>
    </w:p>
    <w:p w14:paraId="7ADA613D" w14:textId="77777777" w:rsidR="003F4742" w:rsidRPr="0026760B" w:rsidRDefault="001E5C9E" w:rsidP="0026760B">
      <w:pPr>
        <w:spacing w:after="0" w:line="240" w:lineRule="auto"/>
        <w:ind w:left="720" w:right="0" w:firstLine="0"/>
        <w:jc w:val="left"/>
        <w:rPr>
          <w:rFonts w:ascii="Times New Roman" w:hAnsi="Times New Roman" w:cs="Times New Roman"/>
        </w:rPr>
      </w:pPr>
      <w:r w:rsidRPr="0026760B">
        <w:rPr>
          <w:rFonts w:ascii="Times New Roman" w:hAnsi="Times New Roman" w:cs="Times New Roman"/>
        </w:rPr>
        <w:t xml:space="preserve"> </w:t>
      </w:r>
    </w:p>
    <w:p w14:paraId="26D1675C" w14:textId="77777777" w:rsidR="003F4742" w:rsidRPr="0026760B" w:rsidRDefault="001E5C9E" w:rsidP="0026760B">
      <w:pPr>
        <w:spacing w:after="0" w:line="240" w:lineRule="auto"/>
        <w:ind w:left="355" w:right="-13"/>
        <w:rPr>
          <w:rFonts w:ascii="Times New Roman" w:hAnsi="Times New Roman" w:cs="Times New Roman"/>
        </w:rPr>
      </w:pPr>
      <w:r w:rsidRPr="0026760B">
        <w:rPr>
          <w:rFonts w:ascii="Times New Roman" w:hAnsi="Times New Roman" w:cs="Times New Roman"/>
        </w:rPr>
        <w:t xml:space="preserve">“There are no contemporary sources about the prehistory of Israel and its ancestors, the matriarchs and patriarchs. Even though some of their names are documented as WestSemitic personal names outside the Bible, the historicity of the biblical persons cannot simply be presumed. </w:t>
      </w:r>
      <w:r w:rsidRPr="0026760B">
        <w:rPr>
          <w:rFonts w:ascii="Times New Roman" w:hAnsi="Times New Roman" w:cs="Times New Roman"/>
          <w:b/>
        </w:rPr>
        <w:t xml:space="preserve">The only source is the book of Genesis, and what is told there is not to be understood historically, nor is it </w:t>
      </w:r>
      <w:r w:rsidRPr="0026760B">
        <w:rPr>
          <w:rFonts w:ascii="Times New Roman" w:hAnsi="Times New Roman" w:cs="Times New Roman"/>
          <w:b/>
          <w:i/>
        </w:rPr>
        <w:t>intended</w:t>
      </w:r>
      <w:r w:rsidRPr="0026760B">
        <w:rPr>
          <w:rFonts w:ascii="Times New Roman" w:hAnsi="Times New Roman" w:cs="Times New Roman"/>
          <w:b/>
        </w:rPr>
        <w:t xml:space="preserve"> to be understood historically. The narratives collected there in clusters of traditions (Abraham cycle, JacobLaban cycle, Jacob-Esau cycle, etc.), which according to biblical chronology take place in the first half of the second millennium BCE, mainly represent retrojections into the period before the constitution of the states of Israel and Judah. Yet these traditions were themselves only written during the period of these states and later.</w:t>
      </w:r>
      <w:r w:rsidRPr="0026760B">
        <w:rPr>
          <w:rFonts w:ascii="Times New Roman" w:hAnsi="Times New Roman" w:cs="Times New Roman"/>
        </w:rPr>
        <w:t xml:space="preserve"> The actual age of the traditions is currently the subject of much debate, but there is broad consensus that written traditions of the ancestors do not date before the eighth century BCE. There is a tendency to understand the Jacob traditions as being older than the Abraham-Isaac traditions. </w:t>
      </w:r>
      <w:r w:rsidRPr="0026760B">
        <w:rPr>
          <w:rFonts w:ascii="Times New Roman" w:hAnsi="Times New Roman" w:cs="Times New Roman"/>
          <w:b/>
        </w:rPr>
        <w:t>That these traditions, whether oral or written, have preserved historical memories from the Middle Bronze Age and Late Bronze Age (eighteenth–twelfth centuries BCE) is very unlikely from what comparative ethnology can say about the transmission of collective memories. By denying the historicity of the biblical narratives, they are not devalued, but theologically valorized.</w:t>
      </w:r>
      <w:r w:rsidRPr="0026760B">
        <w:rPr>
          <w:rFonts w:ascii="Times New Roman" w:hAnsi="Times New Roman" w:cs="Times New Roman"/>
        </w:rPr>
        <w:t>”</w:t>
      </w:r>
      <w:r w:rsidRPr="0026760B">
        <w:rPr>
          <w:rFonts w:ascii="Times New Roman" w:hAnsi="Times New Roman" w:cs="Times New Roman"/>
          <w:sz w:val="21"/>
          <w:vertAlign w:val="superscript"/>
        </w:rPr>
        <w:footnoteReference w:id="8"/>
      </w:r>
      <w:r w:rsidRPr="0026760B">
        <w:rPr>
          <w:rFonts w:ascii="Times New Roman" w:hAnsi="Times New Roman" w:cs="Times New Roman"/>
        </w:rPr>
        <w:t xml:space="preserve"> </w:t>
      </w:r>
    </w:p>
    <w:p w14:paraId="4A76F42F"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50829F04"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3E1B4487" w14:textId="77777777" w:rsidR="003F4742" w:rsidRPr="0026760B" w:rsidRDefault="001E5C9E" w:rsidP="0026760B">
      <w:pPr>
        <w:numPr>
          <w:ilvl w:val="0"/>
          <w:numId w:val="1"/>
        </w:numPr>
        <w:spacing w:after="0" w:line="240" w:lineRule="auto"/>
        <w:ind w:right="0" w:hanging="360"/>
        <w:rPr>
          <w:rFonts w:ascii="Times New Roman" w:hAnsi="Times New Roman" w:cs="Times New Roman"/>
          <w:b/>
          <w:bCs/>
        </w:rPr>
      </w:pPr>
      <w:r w:rsidRPr="0026760B">
        <w:rPr>
          <w:rFonts w:ascii="Times New Roman" w:hAnsi="Times New Roman" w:cs="Times New Roman"/>
          <w:b/>
          <w:bCs/>
        </w:rPr>
        <w:t xml:space="preserve">Some Methodological Points </w:t>
      </w:r>
    </w:p>
    <w:p w14:paraId="3720D459"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017F23FE" w14:textId="77777777" w:rsidR="003F4742" w:rsidRPr="0026760B" w:rsidRDefault="001E5C9E" w:rsidP="0026760B">
      <w:pPr>
        <w:numPr>
          <w:ilvl w:val="1"/>
          <w:numId w:val="1"/>
        </w:numPr>
        <w:spacing w:after="0" w:line="240" w:lineRule="auto"/>
        <w:ind w:right="0" w:hanging="432"/>
        <w:rPr>
          <w:rFonts w:ascii="Times New Roman" w:hAnsi="Times New Roman" w:cs="Times New Roman"/>
        </w:rPr>
      </w:pPr>
      <w:r w:rsidRPr="0026760B">
        <w:rPr>
          <w:rFonts w:ascii="Times New Roman" w:hAnsi="Times New Roman" w:cs="Times New Roman"/>
        </w:rPr>
        <w:t xml:space="preserve">The have a tiny fraction of the evidence of the past that once existed. </w:t>
      </w:r>
    </w:p>
    <w:p w14:paraId="2CAEF110" w14:textId="79B57740"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4E62AB92" w14:textId="77777777" w:rsidR="003F4742" w:rsidRPr="0026760B" w:rsidRDefault="001E5C9E" w:rsidP="0026760B">
      <w:pPr>
        <w:numPr>
          <w:ilvl w:val="1"/>
          <w:numId w:val="1"/>
        </w:numPr>
        <w:spacing w:after="0" w:line="240" w:lineRule="auto"/>
        <w:ind w:right="0" w:hanging="432"/>
        <w:rPr>
          <w:rFonts w:ascii="Times New Roman" w:hAnsi="Times New Roman" w:cs="Times New Roman"/>
        </w:rPr>
      </w:pPr>
      <w:r w:rsidRPr="0026760B">
        <w:rPr>
          <w:rFonts w:ascii="Times New Roman" w:hAnsi="Times New Roman" w:cs="Times New Roman"/>
        </w:rPr>
        <w:t xml:space="preserve">Our historical evidence is randomly and irregularly preserved. </w:t>
      </w:r>
    </w:p>
    <w:p w14:paraId="17A7E84F" w14:textId="189D6046"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62E9D484" w14:textId="312E09AC"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Absence of evidence is not evidence of absence. </w:t>
      </w:r>
    </w:p>
    <w:p w14:paraId="485CE802" w14:textId="6883298E"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3C162527" w14:textId="48B720F0"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There are at least two levels of historical depth to be considered in the biblical text: </w:t>
      </w:r>
    </w:p>
    <w:p w14:paraId="389C16F2" w14:textId="77777777" w:rsidR="003F4742" w:rsidRPr="0026760B" w:rsidRDefault="001E5C9E" w:rsidP="0026760B">
      <w:pPr>
        <w:spacing w:after="0" w:line="240" w:lineRule="auto"/>
        <w:ind w:left="720" w:right="0" w:firstLine="0"/>
        <w:jc w:val="left"/>
        <w:rPr>
          <w:rFonts w:ascii="Times New Roman" w:hAnsi="Times New Roman" w:cs="Times New Roman"/>
        </w:rPr>
      </w:pPr>
      <w:r w:rsidRPr="0026760B">
        <w:rPr>
          <w:rFonts w:ascii="Times New Roman" w:hAnsi="Times New Roman" w:cs="Times New Roman"/>
        </w:rPr>
        <w:t xml:space="preserve"> </w:t>
      </w:r>
    </w:p>
    <w:p w14:paraId="57290A38"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rPr>
        <w:t xml:space="preserve">the time the events recounted in the text occurred; </w:t>
      </w:r>
    </w:p>
    <w:p w14:paraId="34A9C1EC" w14:textId="2D991E5E"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2E81E3FC" w14:textId="571E928C" w:rsidR="003F4742"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rPr>
        <w:t xml:space="preserve">the time(s) the sources were composed and/or edited. </w:t>
      </w:r>
    </w:p>
    <w:p w14:paraId="3BB6FBC6" w14:textId="77777777" w:rsidR="0026760B" w:rsidRPr="0026760B" w:rsidRDefault="0026760B" w:rsidP="0026760B">
      <w:pPr>
        <w:spacing w:after="0" w:line="240" w:lineRule="auto"/>
        <w:ind w:left="1426" w:right="0" w:firstLine="0"/>
        <w:rPr>
          <w:rFonts w:ascii="Times New Roman" w:hAnsi="Times New Roman" w:cs="Times New Roman"/>
        </w:rPr>
      </w:pPr>
    </w:p>
    <w:p w14:paraId="4813FC8F"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41CCD4C3" w14:textId="77777777" w:rsidR="003F4742" w:rsidRPr="0026760B" w:rsidRDefault="001E5C9E" w:rsidP="0026760B">
      <w:pPr>
        <w:numPr>
          <w:ilvl w:val="0"/>
          <w:numId w:val="1"/>
        </w:numPr>
        <w:spacing w:after="0" w:line="240" w:lineRule="auto"/>
        <w:ind w:right="0" w:hanging="360"/>
        <w:rPr>
          <w:rFonts w:ascii="Times New Roman" w:hAnsi="Times New Roman" w:cs="Times New Roman"/>
          <w:b/>
          <w:bCs/>
        </w:rPr>
      </w:pPr>
      <w:r w:rsidRPr="0026760B">
        <w:rPr>
          <w:rFonts w:ascii="Times New Roman" w:hAnsi="Times New Roman" w:cs="Times New Roman"/>
          <w:b/>
          <w:bCs/>
        </w:rPr>
        <w:lastRenderedPageBreak/>
        <w:t xml:space="preserve">Genesis 14 in Its Literary Context </w:t>
      </w:r>
    </w:p>
    <w:p w14:paraId="6A0B1C5F"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662E6C68"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1E01C4CC" w14:textId="77777777" w:rsidR="003F4742" w:rsidRPr="0026760B" w:rsidRDefault="001E5C9E" w:rsidP="0026760B">
      <w:pPr>
        <w:numPr>
          <w:ilvl w:val="0"/>
          <w:numId w:val="1"/>
        </w:numPr>
        <w:spacing w:after="0" w:line="240" w:lineRule="auto"/>
        <w:ind w:right="0" w:hanging="360"/>
        <w:rPr>
          <w:rFonts w:ascii="Times New Roman" w:hAnsi="Times New Roman" w:cs="Times New Roman"/>
          <w:b/>
          <w:bCs/>
        </w:rPr>
      </w:pPr>
      <w:r w:rsidRPr="0026760B">
        <w:rPr>
          <w:rFonts w:ascii="Times New Roman" w:hAnsi="Times New Roman" w:cs="Times New Roman"/>
          <w:b/>
          <w:bCs/>
        </w:rPr>
        <w:t xml:space="preserve">Features with Historical Resonance in Extrabiblical Evidence </w:t>
      </w:r>
    </w:p>
    <w:p w14:paraId="44E798FB"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03E4AAFB" w14:textId="77777777" w:rsidR="003F4742" w:rsidRPr="0026760B" w:rsidRDefault="001E5C9E" w:rsidP="0026760B">
      <w:pPr>
        <w:numPr>
          <w:ilvl w:val="1"/>
          <w:numId w:val="1"/>
        </w:numPr>
        <w:spacing w:after="0" w:line="240" w:lineRule="auto"/>
        <w:ind w:right="0" w:hanging="432"/>
        <w:rPr>
          <w:rFonts w:ascii="Times New Roman" w:hAnsi="Times New Roman" w:cs="Times New Roman"/>
        </w:rPr>
      </w:pPr>
      <w:r w:rsidRPr="0026760B">
        <w:rPr>
          <w:rFonts w:ascii="Times New Roman" w:hAnsi="Times New Roman" w:cs="Times New Roman"/>
        </w:rPr>
        <w:t xml:space="preserve">Political Context of Genesis 14 </w:t>
      </w:r>
    </w:p>
    <w:p w14:paraId="2A39107E" w14:textId="7CEBFEE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0D62B281" w14:textId="23C5F8F1"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Names </w:t>
      </w:r>
    </w:p>
    <w:p w14:paraId="1E66C7B2"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6807C06B"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sz w:val="28"/>
          <w:szCs w:val="28"/>
          <w:rtl/>
        </w:rPr>
        <w:t>אַבְָרָם</w:t>
      </w:r>
      <w:r w:rsidRPr="0026760B">
        <w:rPr>
          <w:rFonts w:ascii="Times New Roman" w:hAnsi="Times New Roman" w:cs="Times New Roman"/>
        </w:rPr>
        <w:t xml:space="preserve"> (</w:t>
      </w:r>
      <w:r w:rsidRPr="0026760B">
        <w:rPr>
          <w:rFonts w:ascii="Times New Roman" w:hAnsi="Times New Roman" w:cs="Times New Roman"/>
          <w:i/>
        </w:rPr>
        <w:t>ʔaḇ-rām</w:t>
      </w:r>
      <w:r w:rsidRPr="0026760B">
        <w:rPr>
          <w:rFonts w:ascii="Times New Roman" w:hAnsi="Times New Roman" w:cs="Times New Roman"/>
        </w:rPr>
        <w:t xml:space="preserve">), “father is exalted,” changed to </w:t>
      </w:r>
      <w:r w:rsidRPr="0026760B">
        <w:rPr>
          <w:rFonts w:ascii="Times New Roman" w:hAnsi="Times New Roman" w:cs="Times New Roman"/>
          <w:sz w:val="28"/>
          <w:szCs w:val="28"/>
          <w:rtl/>
        </w:rPr>
        <w:t>אַבְרָָהָם</w:t>
      </w:r>
      <w:r w:rsidRPr="0026760B">
        <w:rPr>
          <w:rFonts w:ascii="Times New Roman" w:hAnsi="Times New Roman" w:cs="Times New Roman"/>
        </w:rPr>
        <w:t xml:space="preserve"> (</w:t>
      </w:r>
      <w:r w:rsidRPr="0026760B">
        <w:rPr>
          <w:rFonts w:ascii="Times New Roman" w:hAnsi="Times New Roman" w:cs="Times New Roman"/>
          <w:i/>
        </w:rPr>
        <w:t>ʔaḇ-rāhām</w:t>
      </w:r>
      <w:r w:rsidRPr="0026760B">
        <w:rPr>
          <w:rFonts w:ascii="Times New Roman" w:hAnsi="Times New Roman" w:cs="Times New Roman"/>
        </w:rPr>
        <w:t xml:space="preserve">), “father is exalted,” where </w:t>
      </w:r>
      <w:r w:rsidRPr="0026760B">
        <w:rPr>
          <w:rFonts w:ascii="Times New Roman" w:hAnsi="Times New Roman" w:cs="Times New Roman"/>
          <w:sz w:val="28"/>
          <w:szCs w:val="28"/>
          <w:rtl/>
        </w:rPr>
        <w:t>ָרָם</w:t>
      </w:r>
      <w:r w:rsidRPr="0026760B">
        <w:rPr>
          <w:rFonts w:ascii="Times New Roman" w:hAnsi="Times New Roman" w:cs="Times New Roman"/>
        </w:rPr>
        <w:t xml:space="preserve"> and </w:t>
      </w:r>
      <w:r w:rsidRPr="0026760B">
        <w:rPr>
          <w:rFonts w:ascii="Times New Roman" w:hAnsi="Times New Roman" w:cs="Times New Roman"/>
          <w:sz w:val="28"/>
          <w:szCs w:val="28"/>
          <w:rtl/>
        </w:rPr>
        <w:t>רָָהָם</w:t>
      </w:r>
      <w:r w:rsidRPr="0026760B">
        <w:rPr>
          <w:rFonts w:ascii="Times New Roman" w:hAnsi="Times New Roman" w:cs="Times New Roman"/>
        </w:rPr>
        <w:t xml:space="preserve"> are variants of one another, or possibly </w:t>
      </w:r>
      <w:r w:rsidRPr="0026760B">
        <w:rPr>
          <w:rFonts w:ascii="Times New Roman" w:hAnsi="Times New Roman" w:cs="Times New Roman"/>
          <w:sz w:val="28"/>
          <w:szCs w:val="28"/>
          <w:rtl/>
        </w:rPr>
        <w:t>רָָהָם</w:t>
      </w:r>
      <w:r w:rsidRPr="0026760B">
        <w:rPr>
          <w:rFonts w:ascii="Times New Roman" w:hAnsi="Times New Roman" w:cs="Times New Roman"/>
        </w:rPr>
        <w:t xml:space="preserve"> signals a semantic shift, perhaps “father exalts. </w:t>
      </w:r>
      <w:r w:rsidRPr="0026760B">
        <w:rPr>
          <w:rFonts w:ascii="Times New Roman" w:hAnsi="Times New Roman" w:cs="Times New Roman"/>
          <w:sz w:val="21"/>
          <w:vertAlign w:val="superscript"/>
        </w:rPr>
        <w:footnoteReference w:id="9"/>
      </w:r>
      <w:r w:rsidRPr="0026760B">
        <w:rPr>
          <w:rFonts w:ascii="Times New Roman" w:hAnsi="Times New Roman" w:cs="Times New Roman"/>
        </w:rPr>
        <w:t xml:space="preserve"> Cf. </w:t>
      </w:r>
      <w:r w:rsidRPr="0026760B">
        <w:rPr>
          <w:rFonts w:ascii="Times New Roman" w:hAnsi="Times New Roman" w:cs="Times New Roman"/>
          <w:i/>
        </w:rPr>
        <w:t>a-bi-ra-am</w:t>
      </w:r>
      <w:r w:rsidRPr="0026760B">
        <w:rPr>
          <w:rFonts w:ascii="Times New Roman" w:hAnsi="Times New Roman" w:cs="Times New Roman"/>
        </w:rPr>
        <w:t xml:space="preserve"> (Mari, 18</w:t>
      </w:r>
      <w:r w:rsidRPr="0026760B">
        <w:rPr>
          <w:rFonts w:ascii="Times New Roman" w:hAnsi="Times New Roman" w:cs="Times New Roman"/>
          <w:sz w:val="21"/>
          <w:vertAlign w:val="superscript"/>
        </w:rPr>
        <w:t>th</w:t>
      </w:r>
      <w:r w:rsidRPr="0026760B">
        <w:rPr>
          <w:rFonts w:ascii="Times New Roman" w:hAnsi="Times New Roman" w:cs="Times New Roman"/>
        </w:rPr>
        <w:t xml:space="preserve"> century BC; A.3562 iv 12), </w:t>
      </w:r>
      <w:r w:rsidRPr="0026760B">
        <w:rPr>
          <w:rFonts w:ascii="Times New Roman" w:hAnsi="Times New Roman" w:cs="Times New Roman"/>
          <w:i/>
        </w:rPr>
        <w:t>ʔabī-rām</w:t>
      </w:r>
      <w:r w:rsidRPr="0026760B">
        <w:rPr>
          <w:rFonts w:ascii="Times New Roman" w:hAnsi="Times New Roman" w:cs="Times New Roman"/>
        </w:rPr>
        <w:t xml:space="preserve">, “my father is exalted”; </w:t>
      </w:r>
      <w:r w:rsidRPr="0026760B">
        <w:rPr>
          <w:rFonts w:ascii="Times New Roman" w:hAnsi="Times New Roman" w:cs="Times New Roman"/>
          <w:i/>
        </w:rPr>
        <w:t>a-bi-ra-m</w:t>
      </w:r>
      <w:r w:rsidRPr="0026760B">
        <w:rPr>
          <w:rFonts w:ascii="Times New Roman" w:hAnsi="Times New Roman" w:cs="Times New Roman"/>
        </w:rPr>
        <w:t>[</w:t>
      </w:r>
      <w:r w:rsidRPr="0026760B">
        <w:rPr>
          <w:rFonts w:ascii="Times New Roman" w:hAnsi="Times New Roman" w:cs="Times New Roman"/>
          <w:i/>
        </w:rPr>
        <w:t>u</w:t>
      </w:r>
      <w:r w:rsidRPr="0026760B">
        <w:rPr>
          <w:rFonts w:ascii="Times New Roman" w:hAnsi="Times New Roman" w:cs="Times New Roman"/>
        </w:rPr>
        <w:t>]/</w:t>
      </w:r>
      <w:r w:rsidRPr="0026760B">
        <w:rPr>
          <w:rFonts w:ascii="Times New Roman" w:hAnsi="Times New Roman" w:cs="Times New Roman"/>
          <w:i/>
        </w:rPr>
        <w:t>mi</w:t>
      </w:r>
      <w:r w:rsidRPr="0026760B">
        <w:rPr>
          <w:rFonts w:ascii="Times New Roman" w:hAnsi="Times New Roman" w:cs="Times New Roman"/>
        </w:rPr>
        <w:t>₃/</w:t>
      </w:r>
      <w:r w:rsidRPr="0026760B">
        <w:rPr>
          <w:rFonts w:ascii="Times New Roman" w:hAnsi="Times New Roman" w:cs="Times New Roman"/>
          <w:i/>
        </w:rPr>
        <w:t>ma</w:t>
      </w:r>
      <w:r w:rsidRPr="0026760B">
        <w:rPr>
          <w:rFonts w:ascii="Times New Roman" w:hAnsi="Times New Roman" w:cs="Times New Roman"/>
        </w:rPr>
        <w:t xml:space="preserve"> (Ugarit, 13</w:t>
      </w:r>
      <w:r w:rsidRPr="0026760B">
        <w:rPr>
          <w:rFonts w:ascii="Times New Roman" w:hAnsi="Times New Roman" w:cs="Times New Roman"/>
          <w:sz w:val="21"/>
          <w:vertAlign w:val="superscript"/>
        </w:rPr>
        <w:t>th</w:t>
      </w:r>
      <w:r w:rsidRPr="0026760B">
        <w:rPr>
          <w:rFonts w:ascii="Times New Roman" w:hAnsi="Times New Roman" w:cs="Times New Roman"/>
        </w:rPr>
        <w:t xml:space="preserve"> century BC; PRU 3 20a o 1; PRU 6 143 o 2; PRU 6 85 o 10’; RSO 14 3 r 5’), </w:t>
      </w:r>
      <w:r w:rsidRPr="0026760B">
        <w:rPr>
          <w:rFonts w:ascii="Times New Roman" w:hAnsi="Times New Roman" w:cs="Times New Roman"/>
          <w:i/>
        </w:rPr>
        <w:t>ʔabī-rāmu/i/a</w:t>
      </w:r>
      <w:r w:rsidRPr="0026760B">
        <w:rPr>
          <w:rFonts w:ascii="Times New Roman" w:hAnsi="Times New Roman" w:cs="Times New Roman"/>
        </w:rPr>
        <w:t xml:space="preserve">, “my father is exalted” (with case-endings).  </w:t>
      </w:r>
    </w:p>
    <w:p w14:paraId="0C6DB106"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672CF916"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sz w:val="28"/>
          <w:szCs w:val="28"/>
          <w:rtl/>
        </w:rPr>
        <w:t>יִשְׁמֵָעֵאל</w:t>
      </w:r>
      <w:r w:rsidRPr="0026760B">
        <w:rPr>
          <w:rFonts w:ascii="Times New Roman" w:hAnsi="Times New Roman" w:cs="Times New Roman"/>
        </w:rPr>
        <w:t xml:space="preserve"> (</w:t>
      </w:r>
      <w:r w:rsidRPr="0026760B">
        <w:rPr>
          <w:rFonts w:ascii="Times New Roman" w:hAnsi="Times New Roman" w:cs="Times New Roman"/>
          <w:i/>
        </w:rPr>
        <w:t>yišmā</w:t>
      </w:r>
      <w:r w:rsidRPr="0026760B">
        <w:rPr>
          <w:rFonts w:ascii="Times New Roman" w:eastAsia="Times New Roman" w:hAnsi="Times New Roman" w:cs="Times New Roman"/>
          <w:i/>
        </w:rPr>
        <w:t>ʕ</w:t>
      </w:r>
      <w:r w:rsidRPr="0026760B">
        <w:rPr>
          <w:rFonts w:ascii="Times New Roman" w:hAnsi="Times New Roman" w:cs="Times New Roman"/>
          <w:i/>
        </w:rPr>
        <w:t>ēʔl</w:t>
      </w:r>
      <w:r w:rsidRPr="0026760B">
        <w:rPr>
          <w:rFonts w:ascii="Times New Roman" w:hAnsi="Times New Roman" w:cs="Times New Roman"/>
        </w:rPr>
        <w:t xml:space="preserve"> &lt; *</w:t>
      </w:r>
      <w:r w:rsidRPr="0026760B">
        <w:rPr>
          <w:rFonts w:ascii="Times New Roman" w:hAnsi="Times New Roman" w:cs="Times New Roman"/>
          <w:i/>
        </w:rPr>
        <w:t>yišma</w:t>
      </w:r>
      <w:r w:rsidRPr="0026760B">
        <w:rPr>
          <w:rFonts w:ascii="Times New Roman" w:eastAsia="Times New Roman" w:hAnsi="Times New Roman" w:cs="Times New Roman"/>
          <w:i/>
        </w:rPr>
        <w:t>ʕ</w:t>
      </w:r>
      <w:r w:rsidRPr="0026760B">
        <w:rPr>
          <w:rFonts w:ascii="Times New Roman" w:hAnsi="Times New Roman" w:cs="Times New Roman"/>
          <w:i/>
        </w:rPr>
        <w:t>-ʔēl</w:t>
      </w:r>
      <w:r w:rsidRPr="0026760B">
        <w:rPr>
          <w:rFonts w:ascii="Times New Roman" w:hAnsi="Times New Roman" w:cs="Times New Roman"/>
        </w:rPr>
        <w:t xml:space="preserve">), “God heard.” Cf. </w:t>
      </w:r>
      <w:r w:rsidRPr="0026760B">
        <w:rPr>
          <w:rFonts w:ascii="Times New Roman" w:hAnsi="Times New Roman" w:cs="Times New Roman"/>
          <w:i/>
        </w:rPr>
        <w:t>ia-as</w:t>
      </w:r>
      <w:r w:rsidRPr="0026760B">
        <w:rPr>
          <w:rFonts w:ascii="Times New Roman" w:hAnsi="Times New Roman" w:cs="Times New Roman"/>
        </w:rPr>
        <w:t>₂</w:t>
      </w:r>
      <w:r w:rsidRPr="0026760B">
        <w:rPr>
          <w:rFonts w:ascii="Times New Roman" w:hAnsi="Times New Roman" w:cs="Times New Roman"/>
          <w:i/>
        </w:rPr>
        <w:t>-ma-aḫ-</w:t>
      </w:r>
      <w:r w:rsidRPr="0026760B">
        <w:rPr>
          <w:rFonts w:ascii="Times New Roman" w:hAnsi="Times New Roman" w:cs="Times New Roman"/>
        </w:rPr>
        <w:t xml:space="preserve">DINGIR, </w:t>
      </w:r>
      <w:r w:rsidRPr="0026760B">
        <w:rPr>
          <w:rFonts w:ascii="Times New Roman" w:hAnsi="Times New Roman" w:cs="Times New Roman"/>
          <w:i/>
        </w:rPr>
        <w:t>yaśma</w:t>
      </w:r>
      <w:r w:rsidRPr="0026760B">
        <w:rPr>
          <w:rFonts w:ascii="Times New Roman" w:eastAsia="Times New Roman" w:hAnsi="Times New Roman" w:cs="Times New Roman"/>
          <w:i/>
        </w:rPr>
        <w:t>ʕ</w:t>
      </w:r>
      <w:r w:rsidRPr="0026760B">
        <w:rPr>
          <w:rFonts w:ascii="Times New Roman" w:hAnsi="Times New Roman" w:cs="Times New Roman"/>
          <w:i/>
        </w:rPr>
        <w:t>ʔel</w:t>
      </w:r>
      <w:r w:rsidRPr="0026760B">
        <w:rPr>
          <w:rFonts w:ascii="Times New Roman" w:hAnsi="Times New Roman" w:cs="Times New Roman"/>
        </w:rPr>
        <w:t>, “god heard” (Mari, 18</w:t>
      </w:r>
      <w:r w:rsidRPr="0026760B">
        <w:rPr>
          <w:rFonts w:ascii="Times New Roman" w:hAnsi="Times New Roman" w:cs="Times New Roman"/>
          <w:sz w:val="21"/>
          <w:vertAlign w:val="superscript"/>
        </w:rPr>
        <w:t>th</w:t>
      </w:r>
      <w:r w:rsidRPr="0026760B">
        <w:rPr>
          <w:rFonts w:ascii="Times New Roman" w:hAnsi="Times New Roman" w:cs="Times New Roman"/>
        </w:rPr>
        <w:t xml:space="preserve"> century BC; ARM 6 r 16; ARM 23 341 o 4; etc.) </w:t>
      </w:r>
    </w:p>
    <w:p w14:paraId="435CACE4"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55616FE2"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sz w:val="28"/>
          <w:szCs w:val="28"/>
          <w:rtl/>
        </w:rPr>
        <w:t>יִצְָחָק</w:t>
      </w:r>
      <w:r w:rsidRPr="0026760B">
        <w:rPr>
          <w:rFonts w:ascii="Times New Roman" w:hAnsi="Times New Roman" w:cs="Times New Roman"/>
        </w:rPr>
        <w:t xml:space="preserve"> (</w:t>
      </w:r>
      <w:r w:rsidRPr="0026760B">
        <w:rPr>
          <w:rFonts w:ascii="Times New Roman" w:hAnsi="Times New Roman" w:cs="Times New Roman"/>
          <w:i/>
        </w:rPr>
        <w:t>yiṣḥāq</w:t>
      </w:r>
      <w:r w:rsidRPr="0026760B">
        <w:rPr>
          <w:rFonts w:ascii="Times New Roman" w:hAnsi="Times New Roman" w:cs="Times New Roman"/>
        </w:rPr>
        <w:t xml:space="preserve">), “he laughed”; cf. </w:t>
      </w:r>
      <w:r w:rsidRPr="0026760B">
        <w:rPr>
          <w:rFonts w:ascii="Times New Roman" w:hAnsi="Times New Roman" w:cs="Times New Roman"/>
          <w:i/>
        </w:rPr>
        <w:t>ia-aṣ-ḫa-qi</w:t>
      </w:r>
      <w:r w:rsidRPr="0026760B">
        <w:rPr>
          <w:rFonts w:ascii="Times New Roman" w:hAnsi="Times New Roman" w:cs="Times New Roman"/>
        </w:rPr>
        <w:t>₂</w:t>
      </w:r>
      <w:r w:rsidRPr="0026760B">
        <w:rPr>
          <w:rFonts w:ascii="Times New Roman" w:hAnsi="Times New Roman" w:cs="Times New Roman"/>
          <w:sz w:val="21"/>
          <w:vertAlign w:val="superscript"/>
        </w:rPr>
        <w:t>?</w:t>
      </w:r>
      <w:r w:rsidRPr="0026760B">
        <w:rPr>
          <w:rFonts w:ascii="Times New Roman" w:hAnsi="Times New Roman" w:cs="Times New Roman"/>
          <w:i/>
        </w:rPr>
        <w:t>-im</w:t>
      </w:r>
      <w:r w:rsidRPr="0026760B">
        <w:rPr>
          <w:rFonts w:ascii="Times New Roman" w:hAnsi="Times New Roman" w:cs="Times New Roman"/>
        </w:rPr>
        <w:t xml:space="preserve"> (Mari, 18</w:t>
      </w:r>
      <w:r w:rsidRPr="0026760B">
        <w:rPr>
          <w:rFonts w:ascii="Times New Roman" w:hAnsi="Times New Roman" w:cs="Times New Roman"/>
          <w:sz w:val="21"/>
          <w:vertAlign w:val="superscript"/>
        </w:rPr>
        <w:t>th</w:t>
      </w:r>
      <w:r w:rsidRPr="0026760B">
        <w:rPr>
          <w:rFonts w:ascii="Times New Roman" w:hAnsi="Times New Roman" w:cs="Times New Roman"/>
        </w:rPr>
        <w:t xml:space="preserve"> century BC; ARM 9 291 i 38), </w:t>
      </w:r>
      <w:r w:rsidRPr="0026760B">
        <w:rPr>
          <w:rFonts w:ascii="Times New Roman" w:hAnsi="Times New Roman" w:cs="Times New Roman"/>
          <w:i/>
        </w:rPr>
        <w:t>Yaṣḥaqim</w:t>
      </w:r>
      <w:r w:rsidRPr="0026760B">
        <w:rPr>
          <w:rFonts w:ascii="Times New Roman" w:hAnsi="Times New Roman" w:cs="Times New Roman"/>
        </w:rPr>
        <w:t xml:space="preserve">, “he laughed” (with case-ending and final /m/). </w:t>
      </w:r>
    </w:p>
    <w:p w14:paraId="160E0EC4"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34592AA1"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sz w:val="28"/>
          <w:szCs w:val="28"/>
          <w:rtl/>
        </w:rPr>
        <w:t>יַעֲקֹבֹ</w:t>
      </w:r>
      <w:r w:rsidRPr="0026760B">
        <w:rPr>
          <w:rFonts w:ascii="Times New Roman" w:hAnsi="Times New Roman" w:cs="Times New Roman"/>
        </w:rPr>
        <w:t xml:space="preserve"> (</w:t>
      </w:r>
      <w:r w:rsidRPr="0026760B">
        <w:rPr>
          <w:rFonts w:ascii="Times New Roman" w:hAnsi="Times New Roman" w:cs="Times New Roman"/>
          <w:i/>
        </w:rPr>
        <w:t>ya</w:t>
      </w:r>
      <w:r w:rsidRPr="0026760B">
        <w:rPr>
          <w:rFonts w:ascii="Times New Roman" w:eastAsia="Times New Roman" w:hAnsi="Times New Roman" w:cs="Times New Roman"/>
          <w:i/>
        </w:rPr>
        <w:t>ʕ</w:t>
      </w:r>
      <w:r w:rsidRPr="0026760B">
        <w:rPr>
          <w:rFonts w:ascii="Times New Roman" w:hAnsi="Times New Roman" w:cs="Times New Roman"/>
          <w:i/>
        </w:rPr>
        <w:t>ăqōḇ</w:t>
      </w:r>
      <w:r w:rsidRPr="0026760B">
        <w:rPr>
          <w:rFonts w:ascii="Times New Roman" w:hAnsi="Times New Roman" w:cs="Times New Roman"/>
        </w:rPr>
        <w:t xml:space="preserve">), “he protected”; cf. </w:t>
      </w:r>
      <w:r w:rsidRPr="0026760B">
        <w:rPr>
          <w:rFonts w:ascii="Times New Roman" w:hAnsi="Times New Roman" w:cs="Times New Roman"/>
          <w:i/>
        </w:rPr>
        <w:t>ia-aḫ-qu</w:t>
      </w:r>
      <w:r w:rsidRPr="0026760B">
        <w:rPr>
          <w:rFonts w:ascii="Times New Roman" w:hAnsi="Times New Roman" w:cs="Times New Roman"/>
        </w:rPr>
        <w:t>₂</w:t>
      </w:r>
      <w:r w:rsidRPr="0026760B">
        <w:rPr>
          <w:rFonts w:ascii="Times New Roman" w:hAnsi="Times New Roman" w:cs="Times New Roman"/>
          <w:i/>
        </w:rPr>
        <w:t>-bu-um</w:t>
      </w:r>
      <w:r w:rsidRPr="0026760B">
        <w:rPr>
          <w:rFonts w:ascii="Times New Roman" w:hAnsi="Times New Roman" w:cs="Times New Roman"/>
        </w:rPr>
        <w:t xml:space="preserve"> (Mari, 18</w:t>
      </w:r>
      <w:r w:rsidRPr="0026760B">
        <w:rPr>
          <w:rFonts w:ascii="Times New Roman" w:hAnsi="Times New Roman" w:cs="Times New Roman"/>
          <w:sz w:val="21"/>
          <w:vertAlign w:val="superscript"/>
        </w:rPr>
        <w:t>th</w:t>
      </w:r>
      <w:r w:rsidRPr="0026760B">
        <w:rPr>
          <w:rFonts w:ascii="Times New Roman" w:hAnsi="Times New Roman" w:cs="Times New Roman"/>
        </w:rPr>
        <w:t xml:space="preserve"> century BC; ARM </w:t>
      </w:r>
    </w:p>
    <w:p w14:paraId="5BC52985" w14:textId="77777777" w:rsidR="003F4742" w:rsidRPr="0026760B" w:rsidRDefault="001E5C9E" w:rsidP="0026760B">
      <w:pPr>
        <w:spacing w:after="0" w:line="240" w:lineRule="auto"/>
        <w:ind w:left="1234" w:right="0"/>
        <w:rPr>
          <w:rFonts w:ascii="Times New Roman" w:hAnsi="Times New Roman" w:cs="Times New Roman"/>
        </w:rPr>
      </w:pPr>
      <w:r w:rsidRPr="0026760B">
        <w:rPr>
          <w:rFonts w:ascii="Times New Roman" w:hAnsi="Times New Roman" w:cs="Times New Roman"/>
        </w:rPr>
        <w:t xml:space="preserve">24 224 iii 45) alongside </w:t>
      </w:r>
      <w:r w:rsidRPr="0026760B">
        <w:rPr>
          <w:rFonts w:ascii="Times New Roman" w:hAnsi="Times New Roman" w:cs="Times New Roman"/>
          <w:i/>
        </w:rPr>
        <w:t>ia-qu</w:t>
      </w:r>
      <w:r w:rsidRPr="0026760B">
        <w:rPr>
          <w:rFonts w:ascii="Times New Roman" w:hAnsi="Times New Roman" w:cs="Times New Roman"/>
        </w:rPr>
        <w:t>₂</w:t>
      </w:r>
      <w:r w:rsidRPr="0026760B">
        <w:rPr>
          <w:rFonts w:ascii="Times New Roman" w:hAnsi="Times New Roman" w:cs="Times New Roman"/>
          <w:i/>
        </w:rPr>
        <w:t>-bu</w:t>
      </w:r>
      <w:r w:rsidRPr="0026760B">
        <w:rPr>
          <w:rFonts w:ascii="Times New Roman" w:hAnsi="Times New Roman" w:cs="Times New Roman"/>
        </w:rPr>
        <w:t xml:space="preserve"> (CT 2 9 26), </w:t>
      </w:r>
      <w:r w:rsidRPr="0026760B">
        <w:rPr>
          <w:rFonts w:ascii="Times New Roman" w:hAnsi="Times New Roman" w:cs="Times New Roman"/>
          <w:i/>
        </w:rPr>
        <w:t>Ya</w:t>
      </w:r>
      <w:r w:rsidRPr="0026760B">
        <w:rPr>
          <w:rFonts w:ascii="Times New Roman" w:eastAsia="Times New Roman" w:hAnsi="Times New Roman" w:cs="Times New Roman"/>
          <w:i/>
        </w:rPr>
        <w:t>ʕ</w:t>
      </w:r>
      <w:r w:rsidRPr="0026760B">
        <w:rPr>
          <w:rFonts w:ascii="Times New Roman" w:hAnsi="Times New Roman" w:cs="Times New Roman"/>
          <w:i/>
        </w:rPr>
        <w:t>qubum</w:t>
      </w:r>
      <w:r w:rsidRPr="0026760B">
        <w:rPr>
          <w:rFonts w:ascii="Times New Roman" w:hAnsi="Times New Roman" w:cs="Times New Roman"/>
        </w:rPr>
        <w:t xml:space="preserve">, “he protected” </w:t>
      </w:r>
    </w:p>
    <w:p w14:paraId="35D6B4A6" w14:textId="77777777" w:rsidR="00E12DA4" w:rsidRPr="0026760B" w:rsidRDefault="00E12DA4" w:rsidP="0026760B">
      <w:pPr>
        <w:spacing w:after="0" w:line="240" w:lineRule="auto"/>
        <w:ind w:left="1234" w:right="0"/>
        <w:rPr>
          <w:rFonts w:ascii="Times New Roman" w:hAnsi="Times New Roman" w:cs="Times New Roman"/>
        </w:rPr>
      </w:pPr>
    </w:p>
    <w:p w14:paraId="08DD1C46"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sz w:val="28"/>
          <w:szCs w:val="28"/>
          <w:rtl/>
        </w:rPr>
        <w:t>שְִׁמְעבֿן</w:t>
      </w:r>
      <w:r w:rsidRPr="0026760B">
        <w:rPr>
          <w:rFonts w:ascii="Times New Roman" w:hAnsi="Times New Roman" w:cs="Times New Roman"/>
        </w:rPr>
        <w:t xml:space="preserve"> (</w:t>
      </w:r>
      <w:r w:rsidRPr="0026760B">
        <w:rPr>
          <w:rFonts w:ascii="Times New Roman" w:hAnsi="Times New Roman" w:cs="Times New Roman"/>
          <w:i/>
        </w:rPr>
        <w:t>šim</w:t>
      </w:r>
      <w:r w:rsidRPr="0026760B">
        <w:rPr>
          <w:rFonts w:ascii="Times New Roman" w:eastAsia="Times New Roman" w:hAnsi="Times New Roman" w:cs="Times New Roman"/>
          <w:i/>
        </w:rPr>
        <w:t>ʕ</w:t>
      </w:r>
      <w:r w:rsidRPr="0026760B">
        <w:rPr>
          <w:rFonts w:ascii="Times New Roman" w:hAnsi="Times New Roman" w:cs="Times New Roman"/>
          <w:i/>
        </w:rPr>
        <w:t>ôn</w:t>
      </w:r>
      <w:r w:rsidRPr="0026760B">
        <w:rPr>
          <w:rFonts w:ascii="Times New Roman" w:hAnsi="Times New Roman" w:cs="Times New Roman"/>
        </w:rPr>
        <w:t xml:space="preserve">), “hearing”? “heard”? “hear!”? “he heard”?; cf. </w:t>
      </w:r>
      <w:r w:rsidRPr="0026760B">
        <w:rPr>
          <w:rFonts w:ascii="Times New Roman" w:hAnsi="Times New Roman" w:cs="Times New Roman"/>
          <w:i/>
        </w:rPr>
        <w:t>si-ma-aḫ-ni-i-la</w:t>
      </w:r>
      <w:r w:rsidRPr="0026760B">
        <w:rPr>
          <w:rFonts w:ascii="Times New Roman" w:hAnsi="Times New Roman" w:cs="Times New Roman"/>
        </w:rPr>
        <w:t xml:space="preserve"> </w:t>
      </w:r>
    </w:p>
    <w:p w14:paraId="25926659" w14:textId="77777777" w:rsidR="003F4742" w:rsidRPr="0026760B" w:rsidRDefault="001E5C9E" w:rsidP="0026760B">
      <w:pPr>
        <w:spacing w:after="0" w:line="240" w:lineRule="auto"/>
        <w:ind w:left="1234" w:right="0"/>
        <w:rPr>
          <w:rFonts w:ascii="Times New Roman" w:hAnsi="Times New Roman" w:cs="Times New Roman"/>
        </w:rPr>
      </w:pPr>
      <w:r w:rsidRPr="0026760B">
        <w:rPr>
          <w:rFonts w:ascii="Times New Roman" w:hAnsi="Times New Roman" w:cs="Times New Roman"/>
        </w:rPr>
        <w:t>(Mari, 18</w:t>
      </w:r>
      <w:r w:rsidRPr="0026760B">
        <w:rPr>
          <w:rFonts w:ascii="Times New Roman" w:hAnsi="Times New Roman" w:cs="Times New Roman"/>
          <w:sz w:val="21"/>
          <w:vertAlign w:val="superscript"/>
        </w:rPr>
        <w:t>th</w:t>
      </w:r>
      <w:r w:rsidRPr="0026760B">
        <w:rPr>
          <w:rFonts w:ascii="Times New Roman" w:hAnsi="Times New Roman" w:cs="Times New Roman"/>
        </w:rPr>
        <w:t xml:space="preserve"> century BC; ARM 23 623 46), </w:t>
      </w:r>
      <w:r w:rsidRPr="0026760B">
        <w:rPr>
          <w:rFonts w:ascii="Times New Roman" w:hAnsi="Times New Roman" w:cs="Times New Roman"/>
          <w:i/>
        </w:rPr>
        <w:t>Śima</w:t>
      </w:r>
      <w:r w:rsidRPr="0026760B">
        <w:rPr>
          <w:rFonts w:ascii="Times New Roman" w:eastAsia="Times New Roman" w:hAnsi="Times New Roman" w:cs="Times New Roman"/>
          <w:i/>
        </w:rPr>
        <w:t>ʕ</w:t>
      </w:r>
      <w:r w:rsidRPr="0026760B">
        <w:rPr>
          <w:rFonts w:ascii="Times New Roman" w:hAnsi="Times New Roman" w:cs="Times New Roman"/>
          <w:i/>
        </w:rPr>
        <w:t>-ni-ʔila</w:t>
      </w:r>
      <w:r w:rsidRPr="0026760B">
        <w:rPr>
          <w:rFonts w:ascii="Times New Roman" w:hAnsi="Times New Roman" w:cs="Times New Roman"/>
        </w:rPr>
        <w:t xml:space="preserve">, “hear me, O god”; see Golinets, </w:t>
      </w:r>
      <w:r w:rsidRPr="0026760B">
        <w:rPr>
          <w:rFonts w:ascii="Times New Roman" w:hAnsi="Times New Roman" w:cs="Times New Roman"/>
          <w:i/>
        </w:rPr>
        <w:t>Das amurritische Onomastikon der altbabylonischen Zeit 2</w:t>
      </w:r>
      <w:r w:rsidRPr="0026760B">
        <w:rPr>
          <w:rFonts w:ascii="Times New Roman" w:hAnsi="Times New Roman" w:cs="Times New Roman"/>
        </w:rPr>
        <w:t xml:space="preserve"> for the patterns. </w:t>
      </w:r>
    </w:p>
    <w:p w14:paraId="7C6D31A8"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0416E542"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sz w:val="28"/>
          <w:szCs w:val="28"/>
          <w:rtl/>
        </w:rPr>
        <w:t>ָדָּן</w:t>
      </w:r>
      <w:r w:rsidRPr="0026760B">
        <w:rPr>
          <w:rFonts w:ascii="Times New Roman" w:hAnsi="Times New Roman" w:cs="Times New Roman"/>
        </w:rPr>
        <w:t xml:space="preserve"> (</w:t>
      </w:r>
      <w:r w:rsidRPr="0026760B">
        <w:rPr>
          <w:rFonts w:ascii="Times New Roman" w:hAnsi="Times New Roman" w:cs="Times New Roman"/>
          <w:i/>
        </w:rPr>
        <w:t>dān</w:t>
      </w:r>
      <w:r w:rsidRPr="0026760B">
        <w:rPr>
          <w:rFonts w:ascii="Times New Roman" w:hAnsi="Times New Roman" w:cs="Times New Roman"/>
        </w:rPr>
        <w:t xml:space="preserve">), “judge”; cf. </w:t>
      </w:r>
      <w:r w:rsidRPr="0026760B">
        <w:rPr>
          <w:rFonts w:ascii="Times New Roman" w:hAnsi="Times New Roman" w:cs="Times New Roman"/>
          <w:i/>
        </w:rPr>
        <w:t>da-ni-</w:t>
      </w:r>
      <w:r w:rsidRPr="0026760B">
        <w:rPr>
          <w:rFonts w:ascii="Times New Roman" w:hAnsi="Times New Roman" w:cs="Times New Roman"/>
        </w:rPr>
        <w:t xml:space="preserve">DINGIR (Mari; ARM 18 30 10), </w:t>
      </w:r>
      <w:r w:rsidRPr="0026760B">
        <w:rPr>
          <w:rFonts w:ascii="Times New Roman" w:hAnsi="Times New Roman" w:cs="Times New Roman"/>
          <w:i/>
        </w:rPr>
        <w:t>Dānil</w:t>
      </w:r>
      <w:r w:rsidRPr="0026760B">
        <w:rPr>
          <w:rFonts w:ascii="Times New Roman" w:hAnsi="Times New Roman" w:cs="Times New Roman"/>
        </w:rPr>
        <w:t xml:space="preserve"> &lt; *</w:t>
      </w:r>
      <w:r w:rsidRPr="0026760B">
        <w:rPr>
          <w:rFonts w:ascii="Times New Roman" w:hAnsi="Times New Roman" w:cs="Times New Roman"/>
          <w:i/>
        </w:rPr>
        <w:t>Dān-ʔil</w:t>
      </w:r>
      <w:r w:rsidRPr="0026760B">
        <w:rPr>
          <w:rFonts w:ascii="Times New Roman" w:hAnsi="Times New Roman" w:cs="Times New Roman"/>
        </w:rPr>
        <w:t xml:space="preserve">, “god is judge”; </w:t>
      </w:r>
      <w:r w:rsidRPr="0026760B">
        <w:rPr>
          <w:rFonts w:ascii="Times New Roman" w:hAnsi="Times New Roman" w:cs="Times New Roman"/>
          <w:i/>
        </w:rPr>
        <w:t>dnʔil</w:t>
      </w:r>
      <w:r w:rsidRPr="0026760B">
        <w:rPr>
          <w:rFonts w:ascii="Times New Roman" w:hAnsi="Times New Roman" w:cs="Times New Roman"/>
        </w:rPr>
        <w:t xml:space="preserve"> (Ugarit; KTU 1 17 o i 6’, etc.) </w:t>
      </w:r>
    </w:p>
    <w:p w14:paraId="7D65C5C0"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44606078"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sz w:val="28"/>
          <w:szCs w:val="28"/>
          <w:rtl/>
        </w:rPr>
        <w:t>ָגָּד</w:t>
      </w:r>
      <w:r w:rsidRPr="0026760B">
        <w:rPr>
          <w:rFonts w:ascii="Times New Roman" w:hAnsi="Times New Roman" w:cs="Times New Roman"/>
        </w:rPr>
        <w:t xml:space="preserve"> (</w:t>
      </w:r>
      <w:r w:rsidRPr="0026760B">
        <w:rPr>
          <w:rFonts w:ascii="Times New Roman" w:hAnsi="Times New Roman" w:cs="Times New Roman"/>
          <w:i/>
        </w:rPr>
        <w:t>gāḏ</w:t>
      </w:r>
      <w:r w:rsidRPr="0026760B">
        <w:rPr>
          <w:rFonts w:ascii="Times New Roman" w:hAnsi="Times New Roman" w:cs="Times New Roman"/>
        </w:rPr>
        <w:t xml:space="preserve">), “good one”; cf. </w:t>
      </w:r>
      <w:r w:rsidRPr="0026760B">
        <w:rPr>
          <w:rFonts w:ascii="Times New Roman" w:hAnsi="Times New Roman" w:cs="Times New Roman"/>
          <w:i/>
        </w:rPr>
        <w:t>ga-ad-ya</w:t>
      </w:r>
      <w:r w:rsidRPr="0026760B">
        <w:rPr>
          <w:rFonts w:ascii="Times New Roman" w:hAnsi="Times New Roman" w:cs="Times New Roman"/>
        </w:rPr>
        <w:t xml:space="preserve"> (Ugarit; PRU 3 133b r 7), </w:t>
      </w:r>
      <w:r w:rsidRPr="0026760B">
        <w:rPr>
          <w:rFonts w:ascii="Times New Roman" w:hAnsi="Times New Roman" w:cs="Times New Roman"/>
          <w:i/>
        </w:rPr>
        <w:t>Gādya</w:t>
      </w:r>
      <w:r w:rsidRPr="0026760B">
        <w:rPr>
          <w:rFonts w:ascii="Times New Roman" w:hAnsi="Times New Roman" w:cs="Times New Roman"/>
        </w:rPr>
        <w:t xml:space="preserve">, “good one”; </w:t>
      </w:r>
      <w:r w:rsidRPr="0026760B">
        <w:rPr>
          <w:rFonts w:ascii="Times New Roman" w:hAnsi="Times New Roman" w:cs="Times New Roman"/>
          <w:i/>
        </w:rPr>
        <w:t>iagi-id-li-im</w:t>
      </w:r>
      <w:r w:rsidRPr="0026760B">
        <w:rPr>
          <w:rFonts w:ascii="Times New Roman" w:hAnsi="Times New Roman" w:cs="Times New Roman"/>
        </w:rPr>
        <w:t xml:space="preserve"> (Mari; ARM 22 134 3, etc.), </w:t>
      </w:r>
      <w:r w:rsidRPr="0026760B">
        <w:rPr>
          <w:rFonts w:ascii="Times New Roman" w:hAnsi="Times New Roman" w:cs="Times New Roman"/>
          <w:i/>
        </w:rPr>
        <w:t>Yagīd-līm</w:t>
      </w:r>
      <w:r w:rsidRPr="0026760B">
        <w:rPr>
          <w:rFonts w:ascii="Times New Roman" w:hAnsi="Times New Roman" w:cs="Times New Roman"/>
        </w:rPr>
        <w:t xml:space="preserve">, “the tribe has been good” </w:t>
      </w:r>
    </w:p>
    <w:p w14:paraId="4061B00A" w14:textId="77777777" w:rsidR="003F4742" w:rsidRPr="0026760B" w:rsidRDefault="001E5C9E" w:rsidP="0026760B">
      <w:pPr>
        <w:spacing w:after="0" w:line="240" w:lineRule="auto"/>
        <w:ind w:left="720" w:right="0" w:firstLine="0"/>
        <w:jc w:val="left"/>
        <w:rPr>
          <w:rFonts w:ascii="Times New Roman" w:hAnsi="Times New Roman" w:cs="Times New Roman"/>
        </w:rPr>
      </w:pPr>
      <w:r w:rsidRPr="0026760B">
        <w:rPr>
          <w:rFonts w:ascii="Times New Roman" w:hAnsi="Times New Roman" w:cs="Times New Roman"/>
        </w:rPr>
        <w:t xml:space="preserve"> </w:t>
      </w:r>
    </w:p>
    <w:p w14:paraId="7EAB3E4E"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sz w:val="28"/>
          <w:szCs w:val="28"/>
          <w:rtl/>
        </w:rPr>
        <w:t>אֵָשֵׁר</w:t>
      </w:r>
      <w:r w:rsidRPr="0026760B">
        <w:rPr>
          <w:rFonts w:ascii="Times New Roman" w:hAnsi="Times New Roman" w:cs="Times New Roman"/>
        </w:rPr>
        <w:t xml:space="preserve"> (</w:t>
      </w:r>
      <w:r w:rsidRPr="0026760B">
        <w:rPr>
          <w:rFonts w:ascii="Times New Roman" w:hAnsi="Times New Roman" w:cs="Times New Roman"/>
          <w:i/>
        </w:rPr>
        <w:t>ʔāšēr</w:t>
      </w:r>
      <w:r w:rsidRPr="0026760B">
        <w:rPr>
          <w:rFonts w:ascii="Times New Roman" w:hAnsi="Times New Roman" w:cs="Times New Roman"/>
        </w:rPr>
        <w:t xml:space="preserve">), “happy”; cf. </w:t>
      </w:r>
      <w:r w:rsidRPr="0026760B">
        <w:rPr>
          <w:rFonts w:ascii="Times New Roman" w:hAnsi="Times New Roman" w:cs="Times New Roman"/>
          <w:i/>
        </w:rPr>
        <w:t>ḫa-ši-ir</w:t>
      </w:r>
      <w:r w:rsidRPr="0026760B">
        <w:rPr>
          <w:rFonts w:ascii="Times New Roman" w:hAnsi="Times New Roman" w:cs="Times New Roman"/>
          <w:sz w:val="21"/>
          <w:vertAlign w:val="superscript"/>
        </w:rPr>
        <w:t>?</w:t>
      </w:r>
      <w:r w:rsidRPr="0026760B">
        <w:rPr>
          <w:rFonts w:ascii="Times New Roman" w:hAnsi="Times New Roman" w:cs="Times New Roman"/>
        </w:rPr>
        <w:t xml:space="preserve"> (Tutub; R. Harris 1955 82, 38 5), </w:t>
      </w:r>
      <w:r w:rsidRPr="0026760B">
        <w:rPr>
          <w:rFonts w:ascii="Times New Roman" w:hAnsi="Times New Roman" w:cs="Times New Roman"/>
          <w:i/>
        </w:rPr>
        <w:t>ʔAśir</w:t>
      </w:r>
      <w:r w:rsidRPr="0026760B">
        <w:rPr>
          <w:rFonts w:ascii="Times New Roman" w:hAnsi="Times New Roman" w:cs="Times New Roman"/>
        </w:rPr>
        <w:t xml:space="preserve">, “happy,” alongside </w:t>
      </w:r>
      <w:r w:rsidRPr="0026760B">
        <w:rPr>
          <w:rFonts w:ascii="Times New Roman" w:hAnsi="Times New Roman" w:cs="Times New Roman"/>
          <w:i/>
        </w:rPr>
        <w:t>a-še-er-ši-ia-</w:t>
      </w:r>
      <w:r w:rsidRPr="0026760B">
        <w:rPr>
          <w:rFonts w:ascii="Times New Roman" w:hAnsi="Times New Roman" w:cs="Times New Roman"/>
        </w:rPr>
        <w:t xml:space="preserve">[…] (Mari; ARM 13 1 viii 2), </w:t>
      </w:r>
      <w:r w:rsidRPr="0026760B">
        <w:rPr>
          <w:rFonts w:ascii="Times New Roman" w:hAnsi="Times New Roman" w:cs="Times New Roman"/>
          <w:i/>
        </w:rPr>
        <w:t>ʔAśir-</w:t>
      </w:r>
      <w:r w:rsidRPr="0026760B">
        <w:rPr>
          <w:rFonts w:ascii="Times New Roman" w:hAnsi="Times New Roman" w:cs="Times New Roman"/>
        </w:rPr>
        <w:t xml:space="preserve">X, “X was happy” </w:t>
      </w:r>
    </w:p>
    <w:p w14:paraId="0A822BE7" w14:textId="77777777" w:rsidR="003F4742" w:rsidRPr="0026760B" w:rsidRDefault="001E5C9E" w:rsidP="0026760B">
      <w:pPr>
        <w:spacing w:after="0" w:line="240" w:lineRule="auto"/>
        <w:ind w:left="720" w:right="0" w:firstLine="0"/>
        <w:jc w:val="left"/>
        <w:rPr>
          <w:rFonts w:ascii="Times New Roman" w:hAnsi="Times New Roman" w:cs="Times New Roman"/>
        </w:rPr>
      </w:pPr>
      <w:r w:rsidRPr="0026760B">
        <w:rPr>
          <w:rFonts w:ascii="Times New Roman" w:hAnsi="Times New Roman" w:cs="Times New Roman"/>
        </w:rPr>
        <w:t xml:space="preserve"> </w:t>
      </w:r>
    </w:p>
    <w:p w14:paraId="3EDAF03F" w14:textId="77777777" w:rsidR="003F4742" w:rsidRPr="0026760B" w:rsidRDefault="001E5C9E" w:rsidP="0026760B">
      <w:pPr>
        <w:spacing w:after="0" w:line="240" w:lineRule="auto"/>
        <w:ind w:left="715" w:right="0"/>
        <w:rPr>
          <w:rFonts w:ascii="Times New Roman" w:hAnsi="Times New Roman" w:cs="Times New Roman"/>
        </w:rPr>
      </w:pPr>
      <w:r w:rsidRPr="0026760B">
        <w:rPr>
          <w:rFonts w:ascii="Times New Roman" w:hAnsi="Times New Roman" w:cs="Times New Roman"/>
        </w:rPr>
        <w:t xml:space="preserve">Compare such names with names from the Exodus generation and thereafter, where there are transparent suffix-conjugation forms that are not stative, but fientive: </w:t>
      </w:r>
    </w:p>
    <w:p w14:paraId="703F649F" w14:textId="77777777" w:rsidR="003F4742" w:rsidRPr="0026760B" w:rsidRDefault="001E5C9E" w:rsidP="0026760B">
      <w:pPr>
        <w:spacing w:after="0" w:line="240" w:lineRule="auto"/>
        <w:ind w:left="720" w:right="0" w:firstLine="0"/>
        <w:jc w:val="left"/>
        <w:rPr>
          <w:rFonts w:ascii="Times New Roman" w:hAnsi="Times New Roman" w:cs="Times New Roman"/>
        </w:rPr>
      </w:pPr>
      <w:r w:rsidRPr="0026760B">
        <w:rPr>
          <w:rFonts w:ascii="Times New Roman" w:hAnsi="Times New Roman" w:cs="Times New Roman"/>
        </w:rPr>
        <w:lastRenderedPageBreak/>
        <w:t xml:space="preserve"> </w:t>
      </w:r>
    </w:p>
    <w:p w14:paraId="4B040965"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sz w:val="28"/>
          <w:szCs w:val="28"/>
          <w:rtl/>
        </w:rPr>
        <w:t>אֲבִיאָָסָף</w:t>
      </w:r>
      <w:r w:rsidRPr="0026760B">
        <w:rPr>
          <w:rFonts w:ascii="Times New Roman" w:hAnsi="Times New Roman" w:cs="Times New Roman"/>
        </w:rPr>
        <w:t xml:space="preserve"> (</w:t>
      </w:r>
      <w:r w:rsidRPr="0026760B">
        <w:rPr>
          <w:rFonts w:ascii="Times New Roman" w:hAnsi="Times New Roman" w:cs="Times New Roman"/>
          <w:i/>
        </w:rPr>
        <w:t>ʔăḇî-ʔāsāp̄</w:t>
      </w:r>
      <w:r w:rsidRPr="0026760B">
        <w:rPr>
          <w:rFonts w:ascii="Times New Roman" w:hAnsi="Times New Roman" w:cs="Times New Roman"/>
        </w:rPr>
        <w:t xml:space="preserve">), “(my) father gathered” (Exod 6:24) </w:t>
      </w:r>
    </w:p>
    <w:p w14:paraId="74E9353D"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31AC654A"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sz w:val="28"/>
          <w:szCs w:val="28"/>
          <w:rtl/>
        </w:rPr>
        <w:t>אֶלְעָָזָר</w:t>
      </w:r>
      <w:r w:rsidRPr="0026760B">
        <w:rPr>
          <w:rFonts w:ascii="Times New Roman" w:hAnsi="Times New Roman" w:cs="Times New Roman"/>
        </w:rPr>
        <w:t xml:space="preserve"> (</w:t>
      </w:r>
      <w:r w:rsidRPr="0026760B">
        <w:rPr>
          <w:rFonts w:ascii="Times New Roman" w:hAnsi="Times New Roman" w:cs="Times New Roman"/>
          <w:i/>
        </w:rPr>
        <w:t>ʔel-</w:t>
      </w:r>
      <w:r w:rsidRPr="0026760B">
        <w:rPr>
          <w:rFonts w:ascii="Times New Roman" w:eastAsia="Times New Roman" w:hAnsi="Times New Roman" w:cs="Times New Roman"/>
          <w:i/>
        </w:rPr>
        <w:t>ʕ</w:t>
      </w:r>
      <w:r w:rsidRPr="0026760B">
        <w:rPr>
          <w:rFonts w:ascii="Times New Roman" w:hAnsi="Times New Roman" w:cs="Times New Roman"/>
          <w:i/>
        </w:rPr>
        <w:t>āzār</w:t>
      </w:r>
      <w:r w:rsidRPr="0026760B">
        <w:rPr>
          <w:rFonts w:ascii="Times New Roman" w:hAnsi="Times New Roman" w:cs="Times New Roman"/>
        </w:rPr>
        <w:t xml:space="preserve">), “God helped” (Exod 6:25) </w:t>
      </w:r>
    </w:p>
    <w:p w14:paraId="3DB692BD"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202821BF"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sz w:val="28"/>
          <w:szCs w:val="28"/>
          <w:rtl/>
        </w:rPr>
        <w:t>אֶלְקָָנָה</w:t>
      </w:r>
      <w:r w:rsidRPr="0026760B">
        <w:rPr>
          <w:rFonts w:ascii="Times New Roman" w:hAnsi="Times New Roman" w:cs="Times New Roman"/>
        </w:rPr>
        <w:t xml:space="preserve"> (</w:t>
      </w:r>
      <w:r w:rsidRPr="0026760B">
        <w:rPr>
          <w:rFonts w:ascii="Times New Roman" w:hAnsi="Times New Roman" w:cs="Times New Roman"/>
          <w:i/>
        </w:rPr>
        <w:t>ʔel-qānâ</w:t>
      </w:r>
      <w:r w:rsidRPr="0026760B">
        <w:rPr>
          <w:rFonts w:ascii="Times New Roman" w:hAnsi="Times New Roman" w:cs="Times New Roman"/>
        </w:rPr>
        <w:t xml:space="preserve">), “God created” (Exod 6:24) </w:t>
      </w:r>
    </w:p>
    <w:p w14:paraId="3EA361FF"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1CF343AA"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sz w:val="28"/>
          <w:szCs w:val="28"/>
          <w:rtl/>
        </w:rPr>
        <w:t>נְתַנְֵאֵל</w:t>
      </w:r>
      <w:r w:rsidRPr="0026760B">
        <w:rPr>
          <w:rFonts w:ascii="Times New Roman" w:hAnsi="Times New Roman" w:cs="Times New Roman"/>
        </w:rPr>
        <w:t xml:space="preserve"> (</w:t>
      </w:r>
      <w:r w:rsidRPr="0026760B">
        <w:rPr>
          <w:rFonts w:ascii="Times New Roman" w:hAnsi="Times New Roman" w:cs="Times New Roman"/>
          <w:i/>
        </w:rPr>
        <w:t>nəṯan-ʔēl</w:t>
      </w:r>
      <w:r w:rsidRPr="0026760B">
        <w:rPr>
          <w:rFonts w:ascii="Times New Roman" w:hAnsi="Times New Roman" w:cs="Times New Roman"/>
        </w:rPr>
        <w:t xml:space="preserve">), “God gave” (Num 1:8) </w:t>
      </w:r>
    </w:p>
    <w:p w14:paraId="3B7783EF"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730D43FC"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sz w:val="28"/>
          <w:szCs w:val="28"/>
          <w:rtl/>
        </w:rPr>
        <w:t>אֱלִישָָׁמָע</w:t>
      </w:r>
      <w:r w:rsidRPr="0026760B">
        <w:rPr>
          <w:rFonts w:ascii="Times New Roman" w:hAnsi="Times New Roman" w:cs="Times New Roman"/>
        </w:rPr>
        <w:t xml:space="preserve"> (</w:t>
      </w:r>
      <w:r w:rsidRPr="0026760B">
        <w:rPr>
          <w:rFonts w:ascii="Times New Roman" w:hAnsi="Times New Roman" w:cs="Times New Roman"/>
          <w:i/>
        </w:rPr>
        <w:t>ʔĕlî-šāmā</w:t>
      </w:r>
      <w:r w:rsidRPr="0026760B">
        <w:rPr>
          <w:rFonts w:ascii="Times New Roman" w:eastAsia="Times New Roman" w:hAnsi="Times New Roman" w:cs="Times New Roman"/>
          <w:i/>
        </w:rPr>
        <w:t>ʕ</w:t>
      </w:r>
      <w:r w:rsidRPr="0026760B">
        <w:rPr>
          <w:rFonts w:ascii="Times New Roman" w:hAnsi="Times New Roman" w:cs="Times New Roman"/>
        </w:rPr>
        <w:t xml:space="preserve">), “(my) God heard” (Num 1:10) </w:t>
      </w:r>
    </w:p>
    <w:p w14:paraId="5EF6046B"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1F14700A"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sz w:val="28"/>
          <w:szCs w:val="28"/>
          <w:rtl/>
        </w:rPr>
        <w:t>אֶלְיָָסָף</w:t>
      </w:r>
      <w:r w:rsidRPr="0026760B">
        <w:rPr>
          <w:rFonts w:ascii="Times New Roman" w:hAnsi="Times New Roman" w:cs="Times New Roman"/>
        </w:rPr>
        <w:t xml:space="preserve"> (</w:t>
      </w:r>
      <w:r w:rsidRPr="0026760B">
        <w:rPr>
          <w:rFonts w:ascii="Times New Roman" w:hAnsi="Times New Roman" w:cs="Times New Roman"/>
          <w:i/>
        </w:rPr>
        <w:t>ʔel-yāsāp̄</w:t>
      </w:r>
      <w:r w:rsidRPr="0026760B">
        <w:rPr>
          <w:rFonts w:ascii="Times New Roman" w:hAnsi="Times New Roman" w:cs="Times New Roman"/>
        </w:rPr>
        <w:t xml:space="preserve">), “God added” (Num 1:14) </w:t>
      </w:r>
    </w:p>
    <w:p w14:paraId="6E1AEA13"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1992CED2" w14:textId="77777777" w:rsidR="003F4742" w:rsidRPr="0026760B" w:rsidRDefault="001E5C9E" w:rsidP="0026760B">
      <w:pPr>
        <w:spacing w:after="0" w:line="240" w:lineRule="auto"/>
        <w:ind w:left="715" w:right="0"/>
        <w:rPr>
          <w:rFonts w:ascii="Times New Roman" w:hAnsi="Times New Roman" w:cs="Times New Roman"/>
        </w:rPr>
      </w:pPr>
      <w:r w:rsidRPr="0026760B">
        <w:rPr>
          <w:rFonts w:ascii="Times New Roman" w:hAnsi="Times New Roman" w:cs="Times New Roman"/>
        </w:rPr>
        <w:t>We can observe as well that we have no personal names in Genesis with the Yahwistic theophoric element (the name Yahweh in). We have only two in the remainder of the Pentateuch: Jochebed (</w:t>
      </w:r>
      <w:r w:rsidRPr="0026760B">
        <w:rPr>
          <w:rFonts w:ascii="Times New Roman" w:hAnsi="Times New Roman" w:cs="Times New Roman"/>
          <w:sz w:val="28"/>
          <w:szCs w:val="28"/>
          <w:rtl/>
        </w:rPr>
        <w:t>יבֿכֶֶבֶד</w:t>
      </w:r>
      <w:r w:rsidRPr="0026760B">
        <w:rPr>
          <w:rFonts w:ascii="Times New Roman" w:hAnsi="Times New Roman" w:cs="Times New Roman"/>
        </w:rPr>
        <w:t xml:space="preserve">, “Yahweh is honor”), the mother of Moses, and Joshua </w:t>
      </w:r>
    </w:p>
    <w:p w14:paraId="301501C4" w14:textId="77777777" w:rsidR="003F4742" w:rsidRPr="0026760B" w:rsidRDefault="001E5C9E" w:rsidP="0026760B">
      <w:pPr>
        <w:spacing w:after="0" w:line="240" w:lineRule="auto"/>
        <w:ind w:left="715" w:right="0"/>
        <w:rPr>
          <w:rFonts w:ascii="Times New Roman" w:hAnsi="Times New Roman" w:cs="Times New Roman"/>
        </w:rPr>
      </w:pPr>
      <w:r w:rsidRPr="0026760B">
        <w:rPr>
          <w:rFonts w:ascii="Times New Roman" w:hAnsi="Times New Roman" w:cs="Times New Roman"/>
        </w:rPr>
        <w:t>(</w:t>
      </w:r>
      <w:r w:rsidRPr="0026760B">
        <w:rPr>
          <w:rFonts w:ascii="Times New Roman" w:hAnsi="Times New Roman" w:cs="Times New Roman"/>
          <w:sz w:val="28"/>
          <w:szCs w:val="28"/>
          <w:rtl/>
        </w:rPr>
        <w:t>יְהבֿשַֻׁעַ</w:t>
      </w:r>
      <w:r w:rsidRPr="0026760B">
        <w:rPr>
          <w:rFonts w:ascii="Times New Roman" w:hAnsi="Times New Roman" w:cs="Times New Roman"/>
        </w:rPr>
        <w:t>, “Yahweh is salvation”), whose name was changed from Hoshea (</w:t>
      </w:r>
      <w:r w:rsidRPr="0026760B">
        <w:rPr>
          <w:rFonts w:ascii="Times New Roman" w:hAnsi="Times New Roman" w:cs="Times New Roman"/>
          <w:sz w:val="28"/>
          <w:szCs w:val="28"/>
          <w:rtl/>
        </w:rPr>
        <w:t>הבֿשֵַׁעַ</w:t>
      </w:r>
      <w:r w:rsidRPr="0026760B">
        <w:rPr>
          <w:rFonts w:ascii="Times New Roman" w:hAnsi="Times New Roman" w:cs="Times New Roman"/>
        </w:rPr>
        <w:t>, “he saved,” Num 13:16). After this they increase until they constitute as much as 96% of all theophoric personal names during the Divided Monarchy. This percentage corresponds well with the percentage of Yahwistic personal names in Hebrew inscriptions from the same period, which stand at 94%.</w:t>
      </w:r>
      <w:r w:rsidRPr="0026760B">
        <w:rPr>
          <w:rFonts w:ascii="Times New Roman" w:hAnsi="Times New Roman" w:cs="Times New Roman"/>
          <w:sz w:val="21"/>
          <w:vertAlign w:val="superscript"/>
        </w:rPr>
        <w:footnoteReference w:id="10"/>
      </w:r>
      <w:r w:rsidRPr="0026760B">
        <w:rPr>
          <w:rFonts w:ascii="Times New Roman" w:hAnsi="Times New Roman" w:cs="Times New Roman"/>
        </w:rPr>
        <w:t xml:space="preserve"> </w:t>
      </w:r>
    </w:p>
    <w:p w14:paraId="30F18DE0" w14:textId="77777777" w:rsidR="003F4742"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2D4D4862" w14:textId="77777777" w:rsidR="0026760B" w:rsidRPr="0026760B" w:rsidRDefault="0026760B" w:rsidP="0026760B">
      <w:pPr>
        <w:spacing w:after="0" w:line="240" w:lineRule="auto"/>
        <w:ind w:left="0" w:right="0" w:firstLine="0"/>
        <w:jc w:val="left"/>
        <w:rPr>
          <w:rFonts w:ascii="Times New Roman" w:hAnsi="Times New Roman" w:cs="Times New Roman"/>
        </w:rPr>
      </w:pPr>
    </w:p>
    <w:p w14:paraId="3DDCA3C4" w14:textId="77777777" w:rsidR="003F4742" w:rsidRPr="0026760B" w:rsidRDefault="001E5C9E" w:rsidP="0026760B">
      <w:pPr>
        <w:numPr>
          <w:ilvl w:val="1"/>
          <w:numId w:val="1"/>
        </w:numPr>
        <w:spacing w:after="0" w:line="240" w:lineRule="auto"/>
        <w:ind w:right="0" w:hanging="432"/>
        <w:rPr>
          <w:rFonts w:ascii="Times New Roman" w:hAnsi="Times New Roman" w:cs="Times New Roman"/>
        </w:rPr>
      </w:pPr>
      <w:r w:rsidRPr="0026760B">
        <w:rPr>
          <w:rFonts w:ascii="Times New Roman" w:hAnsi="Times New Roman" w:cs="Times New Roman"/>
        </w:rPr>
        <w:t xml:space="preserve">Amorites </w:t>
      </w:r>
    </w:p>
    <w:p w14:paraId="5483646D"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4FB09BB6"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rPr>
        <w:t xml:space="preserve">Amorite language </w:t>
      </w:r>
    </w:p>
    <w:p w14:paraId="45528775"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0A237464" w14:textId="77777777" w:rsidR="00E12DA4" w:rsidRPr="0026760B" w:rsidRDefault="001E5C9E" w:rsidP="0026760B">
      <w:pPr>
        <w:spacing w:after="0" w:line="240" w:lineRule="auto"/>
        <w:ind w:left="1090" w:right="0"/>
        <w:rPr>
          <w:rFonts w:ascii="Times New Roman" w:hAnsi="Times New Roman" w:cs="Times New Roman"/>
        </w:rPr>
      </w:pPr>
      <w:r w:rsidRPr="0026760B">
        <w:rPr>
          <w:rFonts w:ascii="Times New Roman" w:hAnsi="Times New Roman" w:cs="Times New Roman"/>
        </w:rPr>
        <w:t xml:space="preserve">Šamši-Addu, king of Upper Mesopotamia, to his son, Yasmaḫ-Addu: </w:t>
      </w:r>
    </w:p>
    <w:p w14:paraId="0D34CE7D" w14:textId="77777777" w:rsidR="00E12DA4" w:rsidRPr="0026760B" w:rsidRDefault="001E5C9E" w:rsidP="0026760B">
      <w:pPr>
        <w:spacing w:after="0" w:line="240" w:lineRule="auto"/>
        <w:ind w:left="1440" w:right="0" w:firstLine="0"/>
        <w:rPr>
          <w:rFonts w:ascii="Times New Roman" w:hAnsi="Times New Roman" w:cs="Times New Roman"/>
        </w:rPr>
      </w:pPr>
      <w:r w:rsidRPr="0026760B">
        <w:rPr>
          <w:rFonts w:ascii="Times New Roman" w:hAnsi="Times New Roman" w:cs="Times New Roman"/>
        </w:rPr>
        <w:t>“[You have written to me about] sendi[ng] you [a man] who [can decipher]</w:t>
      </w:r>
    </w:p>
    <w:p w14:paraId="3DE240B1" w14:textId="77777777" w:rsidR="00E12DA4" w:rsidRPr="0026760B" w:rsidRDefault="001E5C9E" w:rsidP="0026760B">
      <w:pPr>
        <w:spacing w:after="0" w:line="240" w:lineRule="auto"/>
        <w:ind w:left="1440" w:right="0" w:firstLine="0"/>
        <w:rPr>
          <w:rFonts w:ascii="Times New Roman" w:hAnsi="Times New Roman" w:cs="Times New Roman"/>
        </w:rPr>
      </w:pPr>
      <w:r w:rsidRPr="0026760B">
        <w:rPr>
          <w:rFonts w:ascii="Times New Roman" w:hAnsi="Times New Roman" w:cs="Times New Roman"/>
        </w:rPr>
        <w:t xml:space="preserve">Sumeri[an]. [W]hat? Instead of [requesting] a man who [can decipher] </w:t>
      </w:r>
    </w:p>
    <w:p w14:paraId="2BD89161" w14:textId="77777777" w:rsidR="003F4742" w:rsidRPr="0026760B" w:rsidRDefault="001E5C9E" w:rsidP="0026760B">
      <w:pPr>
        <w:spacing w:after="0" w:line="240" w:lineRule="auto"/>
        <w:ind w:left="1440" w:right="0" w:firstLine="0"/>
        <w:rPr>
          <w:rFonts w:ascii="Times New Roman" w:hAnsi="Times New Roman" w:cs="Times New Roman"/>
        </w:rPr>
      </w:pPr>
      <w:r w:rsidRPr="0026760B">
        <w:rPr>
          <w:rFonts w:ascii="Times New Roman" w:hAnsi="Times New Roman" w:cs="Times New Roman"/>
        </w:rPr>
        <w:t xml:space="preserve">Sumeria[n], [you] learn to spe[ak] Amorite!” (M.7930 + M.8157 o 4-8) </w:t>
      </w:r>
    </w:p>
    <w:p w14:paraId="2E4E103B" w14:textId="77777777" w:rsidR="003F4742" w:rsidRPr="0026760B" w:rsidRDefault="001E5C9E" w:rsidP="0026760B">
      <w:pPr>
        <w:spacing w:after="0" w:line="240" w:lineRule="auto"/>
        <w:ind w:left="1440" w:right="0" w:firstLine="0"/>
        <w:jc w:val="left"/>
        <w:rPr>
          <w:rFonts w:ascii="Times New Roman" w:hAnsi="Times New Roman" w:cs="Times New Roman"/>
        </w:rPr>
      </w:pPr>
      <w:r w:rsidRPr="0026760B">
        <w:rPr>
          <w:rFonts w:ascii="Times New Roman" w:hAnsi="Times New Roman" w:cs="Times New Roman"/>
        </w:rPr>
        <w:t xml:space="preserve"> </w:t>
      </w:r>
    </w:p>
    <w:p w14:paraId="03D160AF" w14:textId="77777777" w:rsidR="003F4742" w:rsidRPr="0026760B" w:rsidRDefault="001E5C9E" w:rsidP="0026760B">
      <w:pPr>
        <w:spacing w:after="0" w:line="240" w:lineRule="auto"/>
        <w:ind w:left="1090" w:right="0"/>
        <w:rPr>
          <w:rFonts w:ascii="Times New Roman" w:hAnsi="Times New Roman" w:cs="Times New Roman"/>
        </w:rPr>
      </w:pPr>
      <w:r w:rsidRPr="0026760B">
        <w:rPr>
          <w:rFonts w:ascii="Times New Roman" w:hAnsi="Times New Roman" w:cs="Times New Roman"/>
        </w:rPr>
        <w:t xml:space="preserve">Yasmaḫ-Addu to his father: </w:t>
      </w:r>
    </w:p>
    <w:p w14:paraId="1276C45D" w14:textId="77777777" w:rsidR="003F4742" w:rsidRPr="0026760B" w:rsidRDefault="001E5C9E" w:rsidP="0026760B">
      <w:pPr>
        <w:spacing w:after="0" w:line="240" w:lineRule="auto"/>
        <w:ind w:left="1440" w:right="0" w:firstLine="0"/>
        <w:jc w:val="left"/>
        <w:rPr>
          <w:rFonts w:ascii="Times New Roman" w:hAnsi="Times New Roman" w:cs="Times New Roman"/>
        </w:rPr>
      </w:pPr>
      <w:r w:rsidRPr="0026760B">
        <w:rPr>
          <w:rFonts w:ascii="Times New Roman" w:hAnsi="Times New Roman" w:cs="Times New Roman"/>
        </w:rPr>
        <w:t xml:space="preserve"> </w:t>
      </w:r>
    </w:p>
    <w:p w14:paraId="7157CC65" w14:textId="77777777" w:rsidR="003F4742" w:rsidRPr="0026760B" w:rsidRDefault="001E5C9E" w:rsidP="0026760B">
      <w:pPr>
        <w:spacing w:after="0" w:line="240" w:lineRule="auto"/>
        <w:ind w:left="1440" w:right="0" w:firstLine="0"/>
        <w:jc w:val="left"/>
        <w:rPr>
          <w:rFonts w:ascii="Times New Roman" w:hAnsi="Times New Roman" w:cs="Times New Roman"/>
        </w:rPr>
      </w:pPr>
      <w:r w:rsidRPr="0026760B">
        <w:rPr>
          <w:rFonts w:ascii="Times New Roman" w:hAnsi="Times New Roman" w:cs="Times New Roman"/>
        </w:rPr>
        <w:t xml:space="preserve">“But my lord wrote me as follows, ‘You cannot speak Amorite with them. Do not go yourself, send Laʔem, Mut-Bisir and Mašum so that they conscript them.’ As for speaking Amorite, I shall finally learn it!” (A.3823 r 5’-10’) </w:t>
      </w:r>
    </w:p>
    <w:p w14:paraId="5F133A60" w14:textId="3CAC7BB0"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7FB36EC8" w14:textId="77777777"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rPr>
        <w:t xml:space="preserve">Amorite corresponds to the land of Amurru </w:t>
      </w:r>
    </w:p>
    <w:p w14:paraId="523818D0" w14:textId="3DE4070E"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40525F4B" w14:textId="5DFD1124" w:rsidR="003F4742" w:rsidRPr="0026760B" w:rsidRDefault="001E5C9E" w:rsidP="0026760B">
      <w:pPr>
        <w:numPr>
          <w:ilvl w:val="2"/>
          <w:numId w:val="1"/>
        </w:numPr>
        <w:spacing w:after="0" w:line="240" w:lineRule="auto"/>
        <w:ind w:right="0" w:hanging="721"/>
        <w:rPr>
          <w:rFonts w:ascii="Times New Roman" w:hAnsi="Times New Roman" w:cs="Times New Roman"/>
        </w:rPr>
      </w:pPr>
      <w:r w:rsidRPr="0026760B">
        <w:rPr>
          <w:rFonts w:ascii="Times New Roman" w:hAnsi="Times New Roman" w:cs="Times New Roman"/>
        </w:rPr>
        <w:t xml:space="preserve">Amorite as a cultural identity </w:t>
      </w:r>
    </w:p>
    <w:p w14:paraId="331EA15B" w14:textId="7396633A" w:rsidR="003F4742" w:rsidRDefault="003F4742" w:rsidP="0026760B">
      <w:pPr>
        <w:spacing w:after="0" w:line="240" w:lineRule="auto"/>
        <w:ind w:left="0" w:right="0" w:firstLine="0"/>
        <w:jc w:val="left"/>
        <w:rPr>
          <w:rFonts w:ascii="Times New Roman" w:hAnsi="Times New Roman" w:cs="Times New Roman"/>
        </w:rPr>
      </w:pPr>
    </w:p>
    <w:p w14:paraId="4DF687EF" w14:textId="77777777" w:rsidR="0026760B" w:rsidRPr="0026760B" w:rsidRDefault="0026760B" w:rsidP="0026760B">
      <w:pPr>
        <w:spacing w:after="0" w:line="240" w:lineRule="auto"/>
        <w:ind w:left="0" w:right="0" w:firstLine="0"/>
        <w:jc w:val="left"/>
        <w:rPr>
          <w:rFonts w:ascii="Times New Roman" w:hAnsi="Times New Roman" w:cs="Times New Roman"/>
        </w:rPr>
      </w:pPr>
    </w:p>
    <w:p w14:paraId="3920E31F" w14:textId="77777777" w:rsidR="003F4742" w:rsidRPr="0026760B" w:rsidRDefault="001E5C9E" w:rsidP="0026760B">
      <w:pPr>
        <w:numPr>
          <w:ilvl w:val="1"/>
          <w:numId w:val="1"/>
        </w:numPr>
        <w:spacing w:after="0" w:line="240" w:lineRule="auto"/>
        <w:ind w:right="0" w:hanging="432"/>
        <w:rPr>
          <w:rFonts w:ascii="Times New Roman" w:hAnsi="Times New Roman" w:cs="Times New Roman"/>
        </w:rPr>
      </w:pPr>
      <w:r w:rsidRPr="0026760B">
        <w:rPr>
          <w:rFonts w:ascii="Times New Roman" w:hAnsi="Times New Roman" w:cs="Times New Roman"/>
        </w:rPr>
        <w:t>Abram the Hebrew (</w:t>
      </w:r>
      <w:r w:rsidRPr="0026760B">
        <w:rPr>
          <w:rFonts w:ascii="Times New Roman" w:hAnsi="Times New Roman" w:cs="Times New Roman"/>
          <w:sz w:val="28"/>
          <w:szCs w:val="28"/>
          <w:rtl/>
        </w:rPr>
        <w:t>עִבְִרִי</w:t>
      </w:r>
      <w:r w:rsidRPr="0026760B">
        <w:rPr>
          <w:rFonts w:ascii="Times New Roman" w:hAnsi="Times New Roman" w:cs="Times New Roman"/>
        </w:rPr>
        <w:t xml:space="preserve">) </w:t>
      </w:r>
    </w:p>
    <w:p w14:paraId="3DB5E58B"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0D008F74" w14:textId="64D8FE08" w:rsidR="003F4742" w:rsidRPr="0026760B" w:rsidRDefault="003F4742" w:rsidP="0026760B">
      <w:pPr>
        <w:spacing w:after="0" w:line="240" w:lineRule="auto"/>
        <w:ind w:left="0" w:right="0" w:firstLine="0"/>
        <w:jc w:val="left"/>
        <w:rPr>
          <w:rFonts w:ascii="Times New Roman" w:hAnsi="Times New Roman" w:cs="Times New Roman"/>
        </w:rPr>
      </w:pPr>
    </w:p>
    <w:p w14:paraId="698C1D4B"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lastRenderedPageBreak/>
        <w:t xml:space="preserve"> </w:t>
      </w:r>
    </w:p>
    <w:p w14:paraId="7EF020BF" w14:textId="79895678" w:rsidR="003F4742" w:rsidRPr="003C4355" w:rsidRDefault="001E5C9E" w:rsidP="003C4355">
      <w:pPr>
        <w:numPr>
          <w:ilvl w:val="1"/>
          <w:numId w:val="1"/>
        </w:numPr>
        <w:spacing w:after="0" w:line="240" w:lineRule="auto"/>
        <w:ind w:right="0" w:hanging="432"/>
        <w:rPr>
          <w:rFonts w:ascii="Times New Roman" w:hAnsi="Times New Roman" w:cs="Times New Roman"/>
        </w:rPr>
      </w:pPr>
      <w:r w:rsidRPr="0026760B">
        <w:rPr>
          <w:rFonts w:ascii="Times New Roman" w:hAnsi="Times New Roman" w:cs="Times New Roman"/>
        </w:rPr>
        <w:t xml:space="preserve">Benjamin as a Personal Name and a Tribal Element </w:t>
      </w:r>
    </w:p>
    <w:p w14:paraId="7B471B88" w14:textId="27817E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71F81974"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55F56A74" w14:textId="77777777" w:rsidR="003F4742" w:rsidRPr="0026760B" w:rsidRDefault="001E5C9E" w:rsidP="0026760B">
      <w:pPr>
        <w:numPr>
          <w:ilvl w:val="1"/>
          <w:numId w:val="1"/>
        </w:numPr>
        <w:spacing w:after="0" w:line="240" w:lineRule="auto"/>
        <w:ind w:right="0" w:hanging="432"/>
        <w:rPr>
          <w:rFonts w:ascii="Times New Roman" w:hAnsi="Times New Roman" w:cs="Times New Roman"/>
        </w:rPr>
      </w:pPr>
      <w:r w:rsidRPr="0026760B">
        <w:rPr>
          <w:rFonts w:ascii="Times New Roman" w:hAnsi="Times New Roman" w:cs="Times New Roman"/>
        </w:rPr>
        <w:t xml:space="preserve">Division over Grazing Space </w:t>
      </w:r>
    </w:p>
    <w:p w14:paraId="7DBDD755" w14:textId="09FE3910" w:rsidR="003F4742" w:rsidRPr="0026760B" w:rsidRDefault="003F4742" w:rsidP="0026760B">
      <w:pPr>
        <w:spacing w:after="0" w:line="240" w:lineRule="auto"/>
        <w:ind w:left="0" w:right="0" w:firstLine="0"/>
        <w:jc w:val="left"/>
        <w:rPr>
          <w:rFonts w:ascii="Times New Roman" w:hAnsi="Times New Roman" w:cs="Times New Roman"/>
        </w:rPr>
      </w:pPr>
    </w:p>
    <w:p w14:paraId="76FAC246"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0CFBF4F0" w14:textId="77777777" w:rsidR="003F4742" w:rsidRPr="0026760B" w:rsidRDefault="001E5C9E" w:rsidP="0026760B">
      <w:pPr>
        <w:numPr>
          <w:ilvl w:val="1"/>
          <w:numId w:val="1"/>
        </w:numPr>
        <w:spacing w:after="0" w:line="240" w:lineRule="auto"/>
        <w:ind w:right="0" w:hanging="432"/>
        <w:rPr>
          <w:rFonts w:ascii="Times New Roman" w:hAnsi="Times New Roman" w:cs="Times New Roman"/>
        </w:rPr>
      </w:pPr>
      <w:r w:rsidRPr="0026760B">
        <w:rPr>
          <w:rFonts w:ascii="Times New Roman" w:hAnsi="Times New Roman" w:cs="Times New Roman"/>
        </w:rPr>
        <w:t xml:space="preserve">Harran and the Grazing Ranges of Benjamin </w:t>
      </w:r>
    </w:p>
    <w:p w14:paraId="38F05841"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777690DF" w14:textId="77777777" w:rsidR="003F4742" w:rsidRPr="0026760B" w:rsidRDefault="001E5C9E" w:rsidP="0026760B">
      <w:pPr>
        <w:spacing w:after="0" w:line="240" w:lineRule="auto"/>
        <w:ind w:left="1090" w:right="-13"/>
        <w:rPr>
          <w:rFonts w:ascii="Times New Roman" w:hAnsi="Times New Roman" w:cs="Times New Roman"/>
        </w:rPr>
      </w:pPr>
      <w:r w:rsidRPr="0026760B">
        <w:rPr>
          <w:rFonts w:ascii="Times New Roman" w:hAnsi="Times New Roman" w:cs="Times New Roman"/>
        </w:rPr>
        <w:t xml:space="preserve">Just as </w:t>
      </w:r>
      <w:r w:rsidRPr="0026760B">
        <w:rPr>
          <w:rFonts w:ascii="Times New Roman" w:hAnsi="Times New Roman" w:cs="Times New Roman"/>
          <w:b/>
        </w:rPr>
        <w:t>the lands of Yamḫad, Qatna, and Amurru are the range of the Benjaminites</w:t>
      </w:r>
      <w:r w:rsidRPr="0026760B">
        <w:rPr>
          <w:rFonts w:ascii="Times New Roman" w:hAnsi="Times New Roman" w:cs="Times New Roman"/>
        </w:rPr>
        <w:t xml:space="preserve">, so that the Benjaminites are satisfied with grain and graze their flocks, so for generations </w:t>
      </w:r>
      <w:r w:rsidRPr="0026760B">
        <w:rPr>
          <w:rFonts w:ascii="Times New Roman" w:hAnsi="Times New Roman" w:cs="Times New Roman"/>
          <w:b/>
        </w:rPr>
        <w:t xml:space="preserve">the range of the tent-dwellers (the Bensimʾalites) is </w:t>
      </w:r>
    </w:p>
    <w:p w14:paraId="1AA0C45C" w14:textId="77777777" w:rsidR="003F4742" w:rsidRPr="0026760B" w:rsidRDefault="001E5C9E" w:rsidP="0026760B">
      <w:pPr>
        <w:spacing w:after="0" w:line="240" w:lineRule="auto"/>
        <w:ind w:left="1090" w:right="0"/>
        <w:rPr>
          <w:rFonts w:ascii="Times New Roman" w:hAnsi="Times New Roman" w:cs="Times New Roman"/>
        </w:rPr>
      </w:pPr>
      <w:r w:rsidRPr="0026760B">
        <w:rPr>
          <w:rFonts w:ascii="Times New Roman" w:hAnsi="Times New Roman" w:cs="Times New Roman"/>
          <w:b/>
        </w:rPr>
        <w:t>Idamaraṣ</w:t>
      </w:r>
      <w:r w:rsidRPr="0026760B">
        <w:rPr>
          <w:rFonts w:ascii="Times New Roman" w:hAnsi="Times New Roman" w:cs="Times New Roman"/>
        </w:rPr>
        <w:t xml:space="preserve">. (he goes on) In what way have the tent-dwellers troubled Idamaraṣ? What is good for the tent-dwellers is also good for Idamaraṣ. So why has Idamaraṣ troubled the Bensimʾalites? … In no way had I done it wrong or burned its harvest. It (Idamaraṣ) has forever been my range. Why would I have troubled it? </w:t>
      </w:r>
    </w:p>
    <w:p w14:paraId="508D7E4D" w14:textId="48786681"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5F333AD2"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4B6464E1" w14:textId="77777777" w:rsidR="003F4742" w:rsidRPr="0026760B" w:rsidRDefault="001E5C9E" w:rsidP="0026760B">
      <w:pPr>
        <w:numPr>
          <w:ilvl w:val="0"/>
          <w:numId w:val="1"/>
        </w:numPr>
        <w:spacing w:after="0" w:line="240" w:lineRule="auto"/>
        <w:ind w:right="0" w:hanging="360"/>
        <w:rPr>
          <w:rFonts w:ascii="Times New Roman" w:hAnsi="Times New Roman" w:cs="Times New Roman"/>
          <w:b/>
          <w:bCs/>
        </w:rPr>
      </w:pPr>
      <w:r w:rsidRPr="0026760B">
        <w:rPr>
          <w:rFonts w:ascii="Times New Roman" w:hAnsi="Times New Roman" w:cs="Times New Roman"/>
          <w:b/>
          <w:bCs/>
        </w:rPr>
        <w:t xml:space="preserve">Conclusions </w:t>
      </w:r>
    </w:p>
    <w:p w14:paraId="657ED65D"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p w14:paraId="4DF2AAB1" w14:textId="77777777" w:rsidR="003F4742" w:rsidRPr="0026760B" w:rsidRDefault="001E5C9E" w:rsidP="0026760B">
      <w:pPr>
        <w:spacing w:after="0" w:line="240" w:lineRule="auto"/>
        <w:ind w:left="0" w:right="0" w:firstLine="0"/>
        <w:jc w:val="left"/>
        <w:rPr>
          <w:rFonts w:ascii="Times New Roman" w:hAnsi="Times New Roman" w:cs="Times New Roman"/>
        </w:rPr>
      </w:pPr>
      <w:r w:rsidRPr="0026760B">
        <w:rPr>
          <w:rFonts w:ascii="Times New Roman" w:hAnsi="Times New Roman" w:cs="Times New Roman"/>
        </w:rPr>
        <w:t xml:space="preserve"> </w:t>
      </w:r>
    </w:p>
    <w:sectPr w:rsidR="003F4742" w:rsidRPr="0026760B" w:rsidSect="002B2C3B">
      <w:footerReference w:type="even" r:id="rId7"/>
      <w:footerReference w:type="default" r:id="rId8"/>
      <w:footerReference w:type="first" r:id="rId9"/>
      <w:pgSz w:w="11894" w:h="16819"/>
      <w:pgMar w:top="1440" w:right="1440" w:bottom="1440" w:left="1440" w:header="720" w:footer="71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77594" w14:textId="77777777" w:rsidR="004D17D5" w:rsidRDefault="004D17D5">
      <w:pPr>
        <w:spacing w:after="0" w:line="240" w:lineRule="auto"/>
      </w:pPr>
      <w:r>
        <w:separator/>
      </w:r>
    </w:p>
  </w:endnote>
  <w:endnote w:type="continuationSeparator" w:id="0">
    <w:p w14:paraId="5BF255DD" w14:textId="77777777" w:rsidR="004D17D5" w:rsidRDefault="004D1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F07E" w14:textId="77777777" w:rsidR="003F4742" w:rsidRDefault="001E5C9E">
    <w:pPr>
      <w:tabs>
        <w:tab w:val="center" w:pos="4506"/>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646901"/>
      <w:docPartObj>
        <w:docPartGallery w:val="Page Numbers (Bottom of Page)"/>
        <w:docPartUnique/>
      </w:docPartObj>
    </w:sdtPr>
    <w:sdtEndPr>
      <w:rPr>
        <w:noProof/>
      </w:rPr>
    </w:sdtEndPr>
    <w:sdtContent>
      <w:p w14:paraId="3483E329" w14:textId="5F53DE53" w:rsidR="003F4742" w:rsidRPr="0026760B" w:rsidRDefault="0026760B" w:rsidP="0026760B">
        <w:pPr>
          <w:pStyle w:val="Footer"/>
          <w:jc w:val="right"/>
          <w:rPr>
            <w:rFonts w:ascii="Times New Roman" w:hAnsi="Times New Roman"/>
          </w:rPr>
        </w:pPr>
        <w:r w:rsidRPr="0026760B">
          <w:rPr>
            <w:rFonts w:ascii="Times New Roman" w:hAnsi="Times New Roman"/>
          </w:rPr>
          <w:fldChar w:fldCharType="begin"/>
        </w:r>
        <w:r w:rsidRPr="0026760B">
          <w:rPr>
            <w:rFonts w:ascii="Times New Roman" w:hAnsi="Times New Roman"/>
          </w:rPr>
          <w:instrText xml:space="preserve"> PAGE   \* MERGEFORMAT </w:instrText>
        </w:r>
        <w:r w:rsidRPr="0026760B">
          <w:rPr>
            <w:rFonts w:ascii="Times New Roman" w:hAnsi="Times New Roman"/>
          </w:rPr>
          <w:fldChar w:fldCharType="separate"/>
        </w:r>
        <w:r w:rsidRPr="0026760B">
          <w:rPr>
            <w:rFonts w:ascii="Times New Roman" w:hAnsi="Times New Roman"/>
            <w:noProof/>
          </w:rPr>
          <w:t>2</w:t>
        </w:r>
        <w:r w:rsidRPr="0026760B">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398A" w14:textId="77777777" w:rsidR="003F4742" w:rsidRDefault="001E5C9E">
    <w:pPr>
      <w:tabs>
        <w:tab w:val="center" w:pos="4506"/>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3A25C" w14:textId="77777777" w:rsidR="004D17D5" w:rsidRDefault="004D17D5">
      <w:pPr>
        <w:spacing w:after="0" w:line="244" w:lineRule="auto"/>
        <w:ind w:left="0" w:right="0" w:firstLine="0"/>
      </w:pPr>
      <w:r>
        <w:separator/>
      </w:r>
    </w:p>
  </w:footnote>
  <w:footnote w:type="continuationSeparator" w:id="0">
    <w:p w14:paraId="6401CCA8" w14:textId="77777777" w:rsidR="004D17D5" w:rsidRDefault="004D17D5">
      <w:pPr>
        <w:spacing w:after="0" w:line="244" w:lineRule="auto"/>
        <w:ind w:left="0" w:right="0" w:firstLine="0"/>
      </w:pPr>
      <w:r>
        <w:continuationSeparator/>
      </w:r>
    </w:p>
  </w:footnote>
  <w:footnote w:id="1">
    <w:p w14:paraId="0E0466AF" w14:textId="77777777" w:rsidR="003F4742" w:rsidRDefault="001E5C9E">
      <w:pPr>
        <w:pStyle w:val="footnotedescription"/>
        <w:spacing w:line="244" w:lineRule="auto"/>
        <w:jc w:val="both"/>
      </w:pPr>
      <w:r>
        <w:rPr>
          <w:rStyle w:val="footnotemark"/>
        </w:rPr>
        <w:footnoteRef/>
      </w:r>
      <w:r>
        <w:t xml:space="preserve"> Julius Wellhausen, </w:t>
      </w:r>
      <w:r>
        <w:rPr>
          <w:i/>
        </w:rPr>
        <w:t>Prolegomena to the History of Israel</w:t>
      </w:r>
      <w:r>
        <w:t xml:space="preserve">, trans. J. Sutherland Black and Allan Menzies under the author’s supervision (Adam &amp; Charles Black, 1885), 318-320. </w:t>
      </w:r>
    </w:p>
  </w:footnote>
  <w:footnote w:id="2">
    <w:p w14:paraId="59E3FE1F" w14:textId="77777777" w:rsidR="003F4742" w:rsidRDefault="001E5C9E">
      <w:pPr>
        <w:pStyle w:val="footnotedescription"/>
      </w:pPr>
      <w:r>
        <w:rPr>
          <w:rStyle w:val="footnotemark"/>
        </w:rPr>
        <w:footnoteRef/>
      </w:r>
      <w:r>
        <w:t xml:space="preserve"> Similarly: John Bright, Cyrus Gordon, E. A. Speiser, Roland de Vaux.  </w:t>
      </w:r>
    </w:p>
  </w:footnote>
  <w:footnote w:id="3">
    <w:p w14:paraId="1A98CE18" w14:textId="77777777" w:rsidR="003F4742" w:rsidRPr="0026760B" w:rsidRDefault="001E5C9E">
      <w:pPr>
        <w:pStyle w:val="footnotedescription"/>
        <w:rPr>
          <w:rFonts w:ascii="Times New Roman" w:hAnsi="Times New Roman" w:cs="Times New Roman"/>
        </w:rPr>
      </w:pPr>
      <w:r w:rsidRPr="0026760B">
        <w:rPr>
          <w:rStyle w:val="footnotemark"/>
          <w:rFonts w:ascii="Times New Roman" w:hAnsi="Times New Roman" w:cs="Times New Roman"/>
        </w:rPr>
        <w:footnoteRef/>
      </w:r>
      <w:r w:rsidRPr="0026760B">
        <w:rPr>
          <w:rFonts w:ascii="Times New Roman" w:hAnsi="Times New Roman" w:cs="Times New Roman"/>
        </w:rPr>
        <w:t xml:space="preserve"> W. F. Albright, </w:t>
      </w:r>
      <w:r w:rsidRPr="0026760B">
        <w:rPr>
          <w:rFonts w:ascii="Times New Roman" w:hAnsi="Times New Roman" w:cs="Times New Roman"/>
          <w:i/>
        </w:rPr>
        <w:t>The Biblical Period from Abraham to Ezra: An Historical Survey</w:t>
      </w:r>
      <w:r w:rsidRPr="0026760B">
        <w:rPr>
          <w:rFonts w:ascii="Times New Roman" w:hAnsi="Times New Roman" w:cs="Times New Roman"/>
        </w:rPr>
        <w:t xml:space="preserve"> (Harper &amp; Row, 1963), 1-2. </w:t>
      </w:r>
    </w:p>
  </w:footnote>
  <w:footnote w:id="4">
    <w:p w14:paraId="73273898" w14:textId="77777777" w:rsidR="003F4742" w:rsidRPr="0026760B" w:rsidRDefault="001E5C9E">
      <w:pPr>
        <w:pStyle w:val="footnotedescription"/>
        <w:rPr>
          <w:rFonts w:ascii="Times New Roman" w:hAnsi="Times New Roman" w:cs="Times New Roman"/>
        </w:rPr>
      </w:pPr>
      <w:r w:rsidRPr="0026760B">
        <w:rPr>
          <w:rStyle w:val="footnotemark"/>
          <w:rFonts w:ascii="Times New Roman" w:hAnsi="Times New Roman" w:cs="Times New Roman"/>
        </w:rPr>
        <w:footnoteRef/>
      </w:r>
      <w:r w:rsidRPr="0026760B">
        <w:rPr>
          <w:rFonts w:ascii="Times New Roman" w:hAnsi="Times New Roman" w:cs="Times New Roman"/>
        </w:rPr>
        <w:t xml:space="preserve"> Similarly: Philip R. Davies, Niels Peter Lemche, Mario Liverani, Keith Whitlam. </w:t>
      </w:r>
    </w:p>
  </w:footnote>
  <w:footnote w:id="5">
    <w:p w14:paraId="42B3232B" w14:textId="77777777" w:rsidR="003F4742" w:rsidRDefault="001E5C9E">
      <w:pPr>
        <w:pStyle w:val="footnotedescription"/>
        <w:spacing w:line="234" w:lineRule="auto"/>
        <w:jc w:val="both"/>
      </w:pPr>
      <w:r w:rsidRPr="0026760B">
        <w:rPr>
          <w:rStyle w:val="footnotemark"/>
          <w:rFonts w:ascii="Times New Roman" w:hAnsi="Times New Roman" w:cs="Times New Roman"/>
        </w:rPr>
        <w:footnoteRef/>
      </w:r>
      <w:r w:rsidRPr="0026760B">
        <w:rPr>
          <w:rFonts w:ascii="Times New Roman" w:hAnsi="Times New Roman" w:cs="Times New Roman"/>
        </w:rPr>
        <w:t xml:space="preserve"> Thomas L. Thompson, </w:t>
      </w:r>
      <w:r w:rsidRPr="0026760B">
        <w:rPr>
          <w:rFonts w:ascii="Times New Roman" w:hAnsi="Times New Roman" w:cs="Times New Roman"/>
          <w:i/>
        </w:rPr>
        <w:t>The Historicity of the Patriarchal Narratives: The Quest for the Historical Abraham</w:t>
      </w:r>
      <w:r w:rsidRPr="0026760B">
        <w:rPr>
          <w:rFonts w:ascii="Times New Roman" w:hAnsi="Times New Roman" w:cs="Times New Roman"/>
        </w:rPr>
        <w:t>, BZAW 133 (Berlin: Walter de Gruyter, 1974), 315, 328-329.</w:t>
      </w:r>
      <w:r>
        <w:t xml:space="preserve"> </w:t>
      </w:r>
    </w:p>
  </w:footnote>
  <w:footnote w:id="6">
    <w:p w14:paraId="6D58FD83" w14:textId="77777777" w:rsidR="003F4742" w:rsidRPr="0026760B" w:rsidRDefault="001E5C9E">
      <w:pPr>
        <w:pStyle w:val="footnotedescription"/>
        <w:rPr>
          <w:rFonts w:ascii="Times New Roman" w:hAnsi="Times New Roman" w:cs="Times New Roman"/>
        </w:rPr>
      </w:pPr>
      <w:r w:rsidRPr="0026760B">
        <w:rPr>
          <w:rStyle w:val="footnotemark"/>
          <w:rFonts w:ascii="Times New Roman" w:hAnsi="Times New Roman" w:cs="Times New Roman"/>
        </w:rPr>
        <w:footnoteRef/>
      </w:r>
      <w:r w:rsidRPr="0026760B">
        <w:rPr>
          <w:rFonts w:ascii="Times New Roman" w:hAnsi="Times New Roman" w:cs="Times New Roman"/>
        </w:rPr>
        <w:t xml:space="preserve"> John Van Seters, </w:t>
      </w:r>
      <w:r w:rsidRPr="0026760B">
        <w:rPr>
          <w:rFonts w:ascii="Times New Roman" w:hAnsi="Times New Roman" w:cs="Times New Roman"/>
          <w:i/>
        </w:rPr>
        <w:t>Abraham in History and Tradition</w:t>
      </w:r>
      <w:r w:rsidRPr="0026760B">
        <w:rPr>
          <w:rFonts w:ascii="Times New Roman" w:hAnsi="Times New Roman" w:cs="Times New Roman"/>
        </w:rPr>
        <w:t xml:space="preserve"> (New Haven: Yale University Press, 1975), 309-310. </w:t>
      </w:r>
    </w:p>
  </w:footnote>
  <w:footnote w:id="7">
    <w:p w14:paraId="0A028314" w14:textId="77777777" w:rsidR="003F4742" w:rsidRPr="0026760B" w:rsidRDefault="001E5C9E">
      <w:pPr>
        <w:pStyle w:val="footnotedescription"/>
        <w:rPr>
          <w:rFonts w:ascii="Times New Roman" w:hAnsi="Times New Roman" w:cs="Times New Roman"/>
        </w:rPr>
      </w:pPr>
      <w:r w:rsidRPr="0026760B">
        <w:rPr>
          <w:rStyle w:val="footnotemark"/>
          <w:rFonts w:ascii="Times New Roman" w:hAnsi="Times New Roman" w:cs="Times New Roman"/>
        </w:rPr>
        <w:footnoteRef/>
      </w:r>
      <w:r w:rsidRPr="0026760B">
        <w:rPr>
          <w:rFonts w:ascii="Times New Roman" w:hAnsi="Times New Roman" w:cs="Times New Roman"/>
        </w:rPr>
        <w:t xml:space="preserve"> Similarly: Lester L. Grabbe, Reinhard G. Kratz, Emanuel Pfoh, Bernd U. Schipper, Omer Sergi. </w:t>
      </w:r>
    </w:p>
  </w:footnote>
  <w:footnote w:id="8">
    <w:p w14:paraId="1D6B4CBE" w14:textId="77777777" w:rsidR="003F4742" w:rsidRDefault="001E5C9E">
      <w:pPr>
        <w:pStyle w:val="footnotedescription"/>
      </w:pPr>
      <w:r w:rsidRPr="0026760B">
        <w:rPr>
          <w:rStyle w:val="footnotemark"/>
          <w:rFonts w:ascii="Times New Roman" w:hAnsi="Times New Roman" w:cs="Times New Roman"/>
        </w:rPr>
        <w:footnoteRef/>
      </w:r>
      <w:r w:rsidRPr="0026760B">
        <w:rPr>
          <w:rFonts w:ascii="Times New Roman" w:hAnsi="Times New Roman" w:cs="Times New Roman"/>
        </w:rPr>
        <w:t xml:space="preserve"> Christian Frevel, </w:t>
      </w:r>
      <w:r w:rsidRPr="0026760B">
        <w:rPr>
          <w:rFonts w:ascii="Times New Roman" w:hAnsi="Times New Roman" w:cs="Times New Roman"/>
          <w:i/>
        </w:rPr>
        <w:t>History of Ancient Israel</w:t>
      </w:r>
      <w:r w:rsidRPr="0026760B">
        <w:rPr>
          <w:rFonts w:ascii="Times New Roman" w:hAnsi="Times New Roman" w:cs="Times New Roman"/>
        </w:rPr>
        <w:t xml:space="preserve"> (SBL Press, 2023), 35.</w:t>
      </w:r>
      <w:r>
        <w:t xml:space="preserve"> </w:t>
      </w:r>
    </w:p>
  </w:footnote>
  <w:footnote w:id="9">
    <w:p w14:paraId="386BCA86" w14:textId="77777777" w:rsidR="003F4742" w:rsidRPr="0026760B" w:rsidRDefault="001E5C9E">
      <w:pPr>
        <w:pStyle w:val="footnotedescription"/>
        <w:spacing w:line="230" w:lineRule="auto"/>
        <w:ind w:right="1"/>
        <w:jc w:val="both"/>
        <w:rPr>
          <w:rFonts w:ascii="Times New Roman" w:hAnsi="Times New Roman" w:cs="Times New Roman"/>
        </w:rPr>
      </w:pPr>
      <w:r w:rsidRPr="0026760B">
        <w:rPr>
          <w:rStyle w:val="footnotemark"/>
          <w:rFonts w:ascii="Times New Roman" w:hAnsi="Times New Roman" w:cs="Times New Roman"/>
        </w:rPr>
        <w:footnoteRef/>
      </w:r>
      <w:r w:rsidRPr="0026760B">
        <w:rPr>
          <w:rFonts w:ascii="Times New Roman" w:hAnsi="Times New Roman" w:cs="Times New Roman"/>
        </w:rPr>
        <w:t xml:space="preserve"> Cf., e.g., Hebrew </w:t>
      </w:r>
      <w:r w:rsidRPr="0026760B">
        <w:rPr>
          <w:rFonts w:ascii="Times New Roman" w:hAnsi="Times New Roman" w:cs="Times New Roman"/>
          <w:sz w:val="24"/>
          <w:szCs w:val="24"/>
          <w:rtl/>
        </w:rPr>
        <w:t>רוּץ</w:t>
      </w:r>
      <w:r w:rsidRPr="0026760B">
        <w:rPr>
          <w:rFonts w:ascii="Times New Roman" w:hAnsi="Times New Roman" w:cs="Times New Roman"/>
        </w:rPr>
        <w:t xml:space="preserve"> // Aramaic </w:t>
      </w:r>
      <w:r w:rsidRPr="0026760B">
        <w:rPr>
          <w:rFonts w:ascii="Times New Roman" w:hAnsi="Times New Roman" w:cs="Times New Roman"/>
          <w:sz w:val="24"/>
          <w:szCs w:val="24"/>
          <w:rtl/>
        </w:rPr>
        <w:t>ְרְַהַט</w:t>
      </w:r>
      <w:r w:rsidRPr="0026760B">
        <w:rPr>
          <w:rFonts w:ascii="Times New Roman" w:hAnsi="Times New Roman" w:cs="Times New Roman"/>
        </w:rPr>
        <w:t xml:space="preserve">,  “to run”; Hebrew </w:t>
      </w:r>
      <w:r w:rsidRPr="0026760B">
        <w:rPr>
          <w:rFonts w:ascii="Times New Roman" w:hAnsi="Times New Roman" w:cs="Times New Roman"/>
          <w:sz w:val="24"/>
          <w:szCs w:val="24"/>
          <w:rtl/>
        </w:rPr>
        <w:t>שׁבֿבּ</w:t>
      </w:r>
      <w:r w:rsidRPr="0026760B">
        <w:rPr>
          <w:rFonts w:ascii="Times New Roman" w:hAnsi="Times New Roman" w:cs="Times New Roman"/>
        </w:rPr>
        <w:t xml:space="preserve"> // Aramaic </w:t>
      </w:r>
      <w:r w:rsidRPr="0026760B">
        <w:rPr>
          <w:rFonts w:ascii="Times New Roman" w:hAnsi="Times New Roman" w:cs="Times New Roman"/>
          <w:sz w:val="24"/>
          <w:szCs w:val="24"/>
          <w:rtl/>
        </w:rPr>
        <w:t>בְַּהַת</w:t>
      </w:r>
      <w:r w:rsidRPr="0026760B">
        <w:rPr>
          <w:rFonts w:ascii="Times New Roman" w:hAnsi="Times New Roman" w:cs="Times New Roman"/>
        </w:rPr>
        <w:t xml:space="preserve">, “to be ashamed,” for the insertion of /h/ in place of /w/. See Joshua Fox, </w:t>
      </w:r>
      <w:r w:rsidRPr="0026760B">
        <w:rPr>
          <w:rFonts w:ascii="Times New Roman" w:hAnsi="Times New Roman" w:cs="Times New Roman"/>
          <w:i/>
        </w:rPr>
        <w:t>Semitic Noun Patterns</w:t>
      </w:r>
      <w:r w:rsidRPr="0026760B">
        <w:rPr>
          <w:rFonts w:ascii="Times New Roman" w:hAnsi="Times New Roman" w:cs="Times New Roman"/>
        </w:rPr>
        <w:t xml:space="preserve">, HSS 59 (Winona Lake: Eisenbrauns, 2003), 253-261, on </w:t>
      </w:r>
      <w:r w:rsidRPr="0026760B">
        <w:rPr>
          <w:rFonts w:ascii="Times New Roman" w:hAnsi="Times New Roman" w:cs="Times New Roman"/>
          <w:i/>
        </w:rPr>
        <w:t>qattal</w:t>
      </w:r>
      <w:r w:rsidRPr="0026760B">
        <w:rPr>
          <w:rFonts w:ascii="Times New Roman" w:hAnsi="Times New Roman" w:cs="Times New Roman"/>
        </w:rPr>
        <w:t>/</w:t>
      </w:r>
      <w:r w:rsidRPr="0026760B">
        <w:rPr>
          <w:rFonts w:ascii="Times New Roman" w:hAnsi="Times New Roman" w:cs="Times New Roman"/>
          <w:i/>
        </w:rPr>
        <w:t>qattāl</w:t>
      </w:r>
      <w:r w:rsidRPr="0026760B">
        <w:rPr>
          <w:rFonts w:ascii="Times New Roman" w:hAnsi="Times New Roman" w:cs="Times New Roman"/>
        </w:rPr>
        <w:t xml:space="preserve"> noun-patterns. </w:t>
      </w:r>
    </w:p>
  </w:footnote>
  <w:footnote w:id="10">
    <w:p w14:paraId="1A4544AF" w14:textId="77777777" w:rsidR="003F4742" w:rsidRPr="0026760B" w:rsidRDefault="001E5C9E">
      <w:pPr>
        <w:pStyle w:val="footnotedescription"/>
        <w:spacing w:line="234" w:lineRule="auto"/>
        <w:jc w:val="both"/>
        <w:rPr>
          <w:rFonts w:ascii="Times New Roman" w:hAnsi="Times New Roman" w:cs="Times New Roman"/>
        </w:rPr>
      </w:pPr>
      <w:r w:rsidRPr="0026760B">
        <w:rPr>
          <w:rStyle w:val="footnotemark"/>
          <w:rFonts w:ascii="Times New Roman" w:hAnsi="Times New Roman" w:cs="Times New Roman"/>
        </w:rPr>
        <w:footnoteRef/>
      </w:r>
      <w:r w:rsidRPr="0026760B">
        <w:rPr>
          <w:rFonts w:ascii="Times New Roman" w:hAnsi="Times New Roman" w:cs="Times New Roman"/>
        </w:rPr>
        <w:t xml:space="preserve"> Jeffrey H. Tigay, </w:t>
      </w:r>
      <w:r w:rsidRPr="0026760B">
        <w:rPr>
          <w:rFonts w:ascii="Times New Roman" w:hAnsi="Times New Roman" w:cs="Times New Roman"/>
          <w:i/>
        </w:rPr>
        <w:t>You Shall Have No Other Gods: Israelite Religion in the Light of Hebrew Inscriptions</w:t>
      </w:r>
      <w:r w:rsidRPr="0026760B">
        <w:rPr>
          <w:rFonts w:ascii="Times New Roman" w:hAnsi="Times New Roman" w:cs="Times New Roman"/>
        </w:rPr>
        <w:t xml:space="preserve">, HSS 31 (Atlanta, Ga.: Scholars Press, 1986), 17-18.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342F9"/>
    <w:multiLevelType w:val="multilevel"/>
    <w:tmpl w:val="51021BB8"/>
    <w:lvl w:ilvl="0">
      <w:start w:val="1"/>
      <w:numFmt w:val="decimal"/>
      <w:lvlText w:val="%1."/>
      <w:lvlJc w:val="left"/>
      <w:pPr>
        <w:ind w:left="360"/>
      </w:pPr>
      <w:rPr>
        <w:rFonts w:ascii="Times New Roman" w:eastAsia="Calibri" w:hAnsi="Times New Roman" w:cs="Times New Roman" w:hint="default"/>
        <w:b/>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675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742"/>
    <w:rsid w:val="00126084"/>
    <w:rsid w:val="001E5C9E"/>
    <w:rsid w:val="0026760B"/>
    <w:rsid w:val="002B2C3B"/>
    <w:rsid w:val="003C4355"/>
    <w:rsid w:val="003F4742"/>
    <w:rsid w:val="004D17D5"/>
    <w:rsid w:val="007C03C0"/>
    <w:rsid w:val="009665E7"/>
    <w:rsid w:val="00E12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5363D"/>
  <w15:docId w15:val="{9CEB2092-3A1C-4C87-86AD-9A25C30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7" w:lineRule="auto"/>
      <w:ind w:left="10" w:right="2" w:hanging="10"/>
      <w:jc w:val="both"/>
    </w:pPr>
    <w:rPr>
      <w:rFonts w:ascii="Calibri" w:eastAsia="Calibri" w:hAnsi="Calibri" w:cs="Calibri"/>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18"/>
      <w:vertAlign w:val="superscript"/>
    </w:rPr>
  </w:style>
  <w:style w:type="paragraph" w:styleId="Header">
    <w:name w:val="header"/>
    <w:basedOn w:val="Normal"/>
    <w:link w:val="HeaderChar"/>
    <w:uiPriority w:val="99"/>
    <w:unhideWhenUsed/>
    <w:rsid w:val="00267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60B"/>
    <w:rPr>
      <w:rFonts w:ascii="Calibri" w:eastAsia="Calibri" w:hAnsi="Calibri" w:cs="Calibri"/>
      <w:color w:val="000000"/>
      <w:sz w:val="24"/>
    </w:rPr>
  </w:style>
  <w:style w:type="paragraph" w:styleId="Footer">
    <w:name w:val="footer"/>
    <w:basedOn w:val="Normal"/>
    <w:link w:val="FooterChar"/>
    <w:uiPriority w:val="99"/>
    <w:unhideWhenUsed/>
    <w:rsid w:val="0026760B"/>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2676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83204">
      <w:bodyDiv w:val="1"/>
      <w:marLeft w:val="0"/>
      <w:marRight w:val="0"/>
      <w:marTop w:val="0"/>
      <w:marBottom w:val="0"/>
      <w:divBdr>
        <w:top w:val="none" w:sz="0" w:space="0" w:color="auto"/>
        <w:left w:val="none" w:sz="0" w:space="0" w:color="auto"/>
        <w:bottom w:val="none" w:sz="0" w:space="0" w:color="auto"/>
        <w:right w:val="none" w:sz="0" w:space="0" w:color="auto"/>
      </w:divBdr>
      <w:divsChild>
        <w:div w:id="1747918916">
          <w:marLeft w:val="0"/>
          <w:marRight w:val="0"/>
          <w:marTop w:val="0"/>
          <w:marBottom w:val="0"/>
          <w:divBdr>
            <w:top w:val="none" w:sz="0" w:space="0" w:color="auto"/>
            <w:left w:val="none" w:sz="0" w:space="0" w:color="auto"/>
            <w:bottom w:val="none" w:sz="0" w:space="0" w:color="auto"/>
            <w:right w:val="none" w:sz="0" w:space="0" w:color="auto"/>
          </w:divBdr>
          <w:divsChild>
            <w:div w:id="1778284301">
              <w:marLeft w:val="0"/>
              <w:marRight w:val="0"/>
              <w:marTop w:val="0"/>
              <w:marBottom w:val="0"/>
              <w:divBdr>
                <w:top w:val="none" w:sz="0" w:space="0" w:color="auto"/>
                <w:left w:val="none" w:sz="0" w:space="0" w:color="auto"/>
                <w:bottom w:val="none" w:sz="0" w:space="0" w:color="auto"/>
                <w:right w:val="none" w:sz="0" w:space="0" w:color="auto"/>
              </w:divBdr>
            </w:div>
          </w:divsChild>
        </w:div>
        <w:div w:id="2061856626">
          <w:marLeft w:val="0"/>
          <w:marRight w:val="0"/>
          <w:marTop w:val="0"/>
          <w:marBottom w:val="0"/>
          <w:divBdr>
            <w:top w:val="none" w:sz="0" w:space="0" w:color="auto"/>
            <w:left w:val="none" w:sz="0" w:space="0" w:color="auto"/>
            <w:bottom w:val="none" w:sz="0" w:space="0" w:color="auto"/>
            <w:right w:val="none" w:sz="0" w:space="0" w:color="auto"/>
          </w:divBdr>
          <w:divsChild>
            <w:div w:id="486438496">
              <w:marLeft w:val="0"/>
              <w:marRight w:val="0"/>
              <w:marTop w:val="0"/>
              <w:marBottom w:val="0"/>
              <w:divBdr>
                <w:top w:val="none" w:sz="0" w:space="0" w:color="auto"/>
                <w:left w:val="none" w:sz="0" w:space="0" w:color="auto"/>
                <w:bottom w:val="none" w:sz="0" w:space="0" w:color="auto"/>
                <w:right w:val="none" w:sz="0" w:space="0" w:color="auto"/>
              </w:divBdr>
              <w:divsChild>
                <w:div w:id="1722367992">
                  <w:marLeft w:val="0"/>
                  <w:marRight w:val="0"/>
                  <w:marTop w:val="0"/>
                  <w:marBottom w:val="0"/>
                  <w:divBdr>
                    <w:top w:val="none" w:sz="0" w:space="0" w:color="auto"/>
                    <w:left w:val="none" w:sz="0" w:space="0" w:color="auto"/>
                    <w:bottom w:val="none" w:sz="0" w:space="0" w:color="auto"/>
                    <w:right w:val="none" w:sz="0" w:space="0" w:color="auto"/>
                  </w:divBdr>
                  <w:divsChild>
                    <w:div w:id="825315767">
                      <w:marLeft w:val="0"/>
                      <w:marRight w:val="0"/>
                      <w:marTop w:val="0"/>
                      <w:marBottom w:val="0"/>
                      <w:divBdr>
                        <w:top w:val="none" w:sz="0" w:space="0" w:color="auto"/>
                        <w:left w:val="none" w:sz="0" w:space="0" w:color="auto"/>
                        <w:bottom w:val="none" w:sz="0" w:space="0" w:color="auto"/>
                        <w:right w:val="none" w:sz="0" w:space="0" w:color="auto"/>
                      </w:divBdr>
                      <w:divsChild>
                        <w:div w:id="454446020">
                          <w:marLeft w:val="0"/>
                          <w:marRight w:val="0"/>
                          <w:marTop w:val="0"/>
                          <w:marBottom w:val="0"/>
                          <w:divBdr>
                            <w:top w:val="none" w:sz="0" w:space="0" w:color="auto"/>
                            <w:left w:val="none" w:sz="0" w:space="0" w:color="auto"/>
                            <w:bottom w:val="none" w:sz="0" w:space="0" w:color="auto"/>
                            <w:right w:val="none" w:sz="0" w:space="0" w:color="auto"/>
                          </w:divBdr>
                          <w:divsChild>
                            <w:div w:id="14081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491074">
      <w:bodyDiv w:val="1"/>
      <w:marLeft w:val="0"/>
      <w:marRight w:val="0"/>
      <w:marTop w:val="0"/>
      <w:marBottom w:val="0"/>
      <w:divBdr>
        <w:top w:val="none" w:sz="0" w:space="0" w:color="auto"/>
        <w:left w:val="none" w:sz="0" w:space="0" w:color="auto"/>
        <w:bottom w:val="none" w:sz="0" w:space="0" w:color="auto"/>
        <w:right w:val="none" w:sz="0" w:space="0" w:color="auto"/>
      </w:divBdr>
      <w:divsChild>
        <w:div w:id="1347561550">
          <w:marLeft w:val="0"/>
          <w:marRight w:val="0"/>
          <w:marTop w:val="0"/>
          <w:marBottom w:val="0"/>
          <w:divBdr>
            <w:top w:val="none" w:sz="0" w:space="0" w:color="auto"/>
            <w:left w:val="none" w:sz="0" w:space="0" w:color="auto"/>
            <w:bottom w:val="none" w:sz="0" w:space="0" w:color="auto"/>
            <w:right w:val="none" w:sz="0" w:space="0" w:color="auto"/>
          </w:divBdr>
          <w:divsChild>
            <w:div w:id="893471067">
              <w:marLeft w:val="0"/>
              <w:marRight w:val="0"/>
              <w:marTop w:val="0"/>
              <w:marBottom w:val="0"/>
              <w:divBdr>
                <w:top w:val="none" w:sz="0" w:space="0" w:color="auto"/>
                <w:left w:val="none" w:sz="0" w:space="0" w:color="auto"/>
                <w:bottom w:val="none" w:sz="0" w:space="0" w:color="auto"/>
                <w:right w:val="none" w:sz="0" w:space="0" w:color="auto"/>
              </w:divBdr>
            </w:div>
          </w:divsChild>
        </w:div>
        <w:div w:id="347371100">
          <w:marLeft w:val="0"/>
          <w:marRight w:val="0"/>
          <w:marTop w:val="0"/>
          <w:marBottom w:val="0"/>
          <w:divBdr>
            <w:top w:val="none" w:sz="0" w:space="0" w:color="auto"/>
            <w:left w:val="none" w:sz="0" w:space="0" w:color="auto"/>
            <w:bottom w:val="none" w:sz="0" w:space="0" w:color="auto"/>
            <w:right w:val="none" w:sz="0" w:space="0" w:color="auto"/>
          </w:divBdr>
          <w:divsChild>
            <w:div w:id="1144128983">
              <w:marLeft w:val="0"/>
              <w:marRight w:val="0"/>
              <w:marTop w:val="0"/>
              <w:marBottom w:val="0"/>
              <w:divBdr>
                <w:top w:val="none" w:sz="0" w:space="0" w:color="auto"/>
                <w:left w:val="none" w:sz="0" w:space="0" w:color="auto"/>
                <w:bottom w:val="none" w:sz="0" w:space="0" w:color="auto"/>
                <w:right w:val="none" w:sz="0" w:space="0" w:color="auto"/>
              </w:divBdr>
              <w:divsChild>
                <w:div w:id="422995480">
                  <w:marLeft w:val="0"/>
                  <w:marRight w:val="0"/>
                  <w:marTop w:val="0"/>
                  <w:marBottom w:val="0"/>
                  <w:divBdr>
                    <w:top w:val="none" w:sz="0" w:space="0" w:color="auto"/>
                    <w:left w:val="none" w:sz="0" w:space="0" w:color="auto"/>
                    <w:bottom w:val="none" w:sz="0" w:space="0" w:color="auto"/>
                    <w:right w:val="none" w:sz="0" w:space="0" w:color="auto"/>
                  </w:divBdr>
                  <w:divsChild>
                    <w:div w:id="713119494">
                      <w:marLeft w:val="0"/>
                      <w:marRight w:val="0"/>
                      <w:marTop w:val="0"/>
                      <w:marBottom w:val="0"/>
                      <w:divBdr>
                        <w:top w:val="none" w:sz="0" w:space="0" w:color="auto"/>
                        <w:left w:val="none" w:sz="0" w:space="0" w:color="auto"/>
                        <w:bottom w:val="none" w:sz="0" w:space="0" w:color="auto"/>
                        <w:right w:val="none" w:sz="0" w:space="0" w:color="auto"/>
                      </w:divBdr>
                      <w:divsChild>
                        <w:div w:id="1650133624">
                          <w:marLeft w:val="0"/>
                          <w:marRight w:val="0"/>
                          <w:marTop w:val="0"/>
                          <w:marBottom w:val="0"/>
                          <w:divBdr>
                            <w:top w:val="none" w:sz="0" w:space="0" w:color="auto"/>
                            <w:left w:val="none" w:sz="0" w:space="0" w:color="auto"/>
                            <w:bottom w:val="none" w:sz="0" w:space="0" w:color="auto"/>
                            <w:right w:val="none" w:sz="0" w:space="0" w:color="auto"/>
                          </w:divBdr>
                          <w:divsChild>
                            <w:div w:id="114558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Dill</dc:creator>
  <cp:keywords/>
  <cp:lastModifiedBy>Richard Dennert</cp:lastModifiedBy>
  <cp:revision>5</cp:revision>
  <dcterms:created xsi:type="dcterms:W3CDTF">2025-04-23T03:02:00Z</dcterms:created>
  <dcterms:modified xsi:type="dcterms:W3CDTF">2025-04-23T03:14:00Z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7b321c5220485ae32c53df99b334ad325b1a2c7ba02ff39ba7a621b5e87cca48</vt:lpwstr>
  </property>
</Properties>
</file>